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auto"/>
          <w:sz w:val="23"/>
          <w:lang w:val="el-GR" w:eastAsia="el-GR"/>
        </w:rPr>
        <w:id w:val="762810467"/>
        <w:docPartObj>
          <w:docPartGallery w:val="Cover Pages"/>
          <w:docPartUnique/>
        </w:docPartObj>
      </w:sdtPr>
      <w:sdtEndPr/>
      <w:sdtContent>
        <w:p w14:paraId="17FBCC5C" w14:textId="77777777" w:rsidR="00591697" w:rsidRPr="00760F3B" w:rsidRDefault="00591697" w:rsidP="00536116">
          <w:pPr>
            <w:pStyle w:val="NoSpacing"/>
            <w:jc w:val="center"/>
            <w:rPr>
              <w:rFonts w:ascii="Times New Roman" w:hAnsi="Times New Roman"/>
              <w:spacing w:val="12"/>
              <w:szCs w:val="28"/>
              <w:lang w:val="en-GB"/>
            </w:rPr>
          </w:pPr>
          <w:r w:rsidRPr="00760F3B">
            <w:rPr>
              <w:rFonts w:ascii="Times New Roman" w:hAnsi="Times New Roman"/>
              <w:noProof/>
              <w:lang w:val="el-GR" w:eastAsia="el-GR"/>
            </w:rPr>
            <w:drawing>
              <wp:inline distT="0" distB="0" distL="0" distR="0" wp14:anchorId="7F183E9D" wp14:editId="602718C6">
                <wp:extent cx="533400" cy="51435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9218"/>
                        <a:stretch>
                          <a:fillRect/>
                        </a:stretch>
                      </pic:blipFill>
                      <pic:spPr bwMode="auto">
                        <a:xfrm>
                          <a:off x="0" y="0"/>
                          <a:ext cx="533400" cy="514350"/>
                        </a:xfrm>
                        <a:prstGeom prst="rect">
                          <a:avLst/>
                        </a:prstGeom>
                        <a:noFill/>
                        <a:ln>
                          <a:noFill/>
                        </a:ln>
                      </pic:spPr>
                    </pic:pic>
                  </a:graphicData>
                </a:graphic>
              </wp:inline>
            </w:drawing>
          </w:r>
        </w:p>
        <w:p w14:paraId="31DBB66C" w14:textId="77777777" w:rsidR="00591697" w:rsidRPr="00760F3B" w:rsidRDefault="00591697" w:rsidP="00536116">
          <w:pPr>
            <w:pStyle w:val="CBCHeading"/>
            <w:widowControl w:val="0"/>
            <w:spacing w:after="0"/>
            <w:ind w:right="119"/>
            <w:rPr>
              <w:rFonts w:ascii="Times New Roman" w:hAnsi="Times New Roman"/>
              <w:spacing w:val="12"/>
              <w:sz w:val="26"/>
              <w:szCs w:val="26"/>
              <w:lang w:val="en-GB"/>
            </w:rPr>
          </w:pPr>
          <w:r w:rsidRPr="00760F3B">
            <w:rPr>
              <w:rFonts w:ascii="Times New Roman" w:hAnsi="Times New Roman"/>
              <w:spacing w:val="12"/>
              <w:sz w:val="26"/>
              <w:szCs w:val="26"/>
              <w:lang w:val="en-GB"/>
            </w:rPr>
            <w:t xml:space="preserve">CENTRAL BANK OF </w:t>
          </w:r>
          <w:smartTag w:uri="urn:schemas-microsoft-com:office:smarttags" w:element="country-region">
            <w:smartTag w:uri="urn:schemas-microsoft-com:office:smarttags" w:element="place">
              <w:r w:rsidRPr="00760F3B">
                <w:rPr>
                  <w:rFonts w:ascii="Times New Roman" w:hAnsi="Times New Roman"/>
                  <w:spacing w:val="12"/>
                  <w:sz w:val="26"/>
                  <w:szCs w:val="26"/>
                  <w:lang w:val="en-GB"/>
                </w:rPr>
                <w:t>CYPRUS</w:t>
              </w:r>
            </w:smartTag>
          </w:smartTag>
        </w:p>
        <w:p w14:paraId="54F20E45" w14:textId="77777777" w:rsidR="00591697" w:rsidRPr="00760F3B" w:rsidRDefault="00591697" w:rsidP="00536116">
          <w:pPr>
            <w:pStyle w:val="CBCHeading"/>
            <w:widowControl w:val="0"/>
            <w:spacing w:before="60" w:after="0"/>
            <w:ind w:left="2552" w:right="2692"/>
            <w:rPr>
              <w:rFonts w:ascii="Times New Roman" w:hAnsi="Times New Roman"/>
              <w:b w:val="0"/>
              <w:spacing w:val="12"/>
              <w:sz w:val="18"/>
              <w:szCs w:val="18"/>
              <w:lang w:val="en-GB"/>
            </w:rPr>
          </w:pPr>
          <w:r w:rsidRPr="00760F3B">
            <w:rPr>
              <w:rFonts w:ascii="Times New Roman" w:hAnsi="Times New Roman"/>
              <w:b w:val="0"/>
              <w:sz w:val="18"/>
              <w:szCs w:val="18"/>
              <w:lang w:val="en-GB"/>
            </w:rPr>
            <w:t>EUROSYSTEM</w:t>
          </w:r>
        </w:p>
        <w:p w14:paraId="651A6061" w14:textId="77777777" w:rsidR="00591697" w:rsidRPr="00760F3B" w:rsidRDefault="00591697" w:rsidP="00760F3B">
          <w:pPr>
            <w:tabs>
              <w:tab w:val="left" w:pos="3257"/>
            </w:tabs>
            <w:jc w:val="both"/>
            <w:rPr>
              <w:rFonts w:ascii="Times New Roman" w:hAnsi="Times New Roman"/>
              <w:lang w:val="en-GB"/>
            </w:rPr>
          </w:pPr>
        </w:p>
        <w:p w14:paraId="3FF057FC" w14:textId="77777777" w:rsidR="00591697" w:rsidRPr="00760F3B" w:rsidRDefault="00591697" w:rsidP="00760F3B">
          <w:pPr>
            <w:jc w:val="both"/>
            <w:rPr>
              <w:rFonts w:ascii="Times New Roman" w:hAnsi="Times New Roman"/>
              <w:lang w:val="en-GB"/>
            </w:rPr>
          </w:pPr>
        </w:p>
        <w:p w14:paraId="026C23DC" w14:textId="77777777" w:rsidR="00591697" w:rsidRPr="00760F3B" w:rsidRDefault="00591697" w:rsidP="00760F3B">
          <w:pPr>
            <w:jc w:val="both"/>
            <w:rPr>
              <w:rFonts w:ascii="Times New Roman" w:hAnsi="Times New Roman"/>
              <w:lang w:val="en-GB"/>
            </w:rPr>
          </w:pPr>
        </w:p>
        <w:p w14:paraId="4388074E" w14:textId="77777777" w:rsidR="00CA0798" w:rsidRDefault="00CA0798" w:rsidP="00CA0798">
          <w:pPr>
            <w:autoSpaceDE w:val="0"/>
            <w:autoSpaceDN w:val="0"/>
            <w:adjustRightInd w:val="0"/>
            <w:jc w:val="center"/>
            <w:rPr>
              <w:rFonts w:cs="Arial"/>
              <w:b/>
              <w:sz w:val="28"/>
              <w:szCs w:val="28"/>
              <w:lang w:val="en-GB"/>
            </w:rPr>
          </w:pPr>
        </w:p>
        <w:p w14:paraId="005ED609" w14:textId="77777777" w:rsidR="00CA0798" w:rsidRDefault="00CA0798" w:rsidP="00CA0798">
          <w:pPr>
            <w:autoSpaceDE w:val="0"/>
            <w:autoSpaceDN w:val="0"/>
            <w:adjustRightInd w:val="0"/>
            <w:jc w:val="center"/>
            <w:rPr>
              <w:rFonts w:cs="Arial"/>
              <w:b/>
              <w:sz w:val="28"/>
              <w:szCs w:val="28"/>
              <w:lang w:val="en-GB"/>
            </w:rPr>
          </w:pPr>
        </w:p>
        <w:p w14:paraId="73C0B0AF" w14:textId="77777777" w:rsidR="000F3F4F" w:rsidRDefault="000F3F4F" w:rsidP="00CA0798">
          <w:pPr>
            <w:autoSpaceDE w:val="0"/>
            <w:autoSpaceDN w:val="0"/>
            <w:adjustRightInd w:val="0"/>
            <w:jc w:val="center"/>
            <w:rPr>
              <w:rFonts w:cs="Arial"/>
              <w:b/>
              <w:sz w:val="30"/>
              <w:szCs w:val="30"/>
              <w:lang w:val="en-GB"/>
            </w:rPr>
          </w:pPr>
        </w:p>
        <w:p w14:paraId="6F29EE4B" w14:textId="6B173106" w:rsidR="00CA0798" w:rsidRPr="00CA0798" w:rsidRDefault="00CA0798" w:rsidP="00CA0798">
          <w:pPr>
            <w:autoSpaceDE w:val="0"/>
            <w:autoSpaceDN w:val="0"/>
            <w:adjustRightInd w:val="0"/>
            <w:jc w:val="center"/>
            <w:rPr>
              <w:rFonts w:cs="Arial"/>
              <w:b/>
              <w:sz w:val="30"/>
              <w:szCs w:val="30"/>
              <w:lang w:val="en-GB"/>
            </w:rPr>
          </w:pPr>
          <w:r w:rsidRPr="00CA0798">
            <w:rPr>
              <w:rFonts w:cs="Arial"/>
              <w:b/>
              <w:sz w:val="30"/>
              <w:szCs w:val="30"/>
              <w:lang w:val="en-GB"/>
            </w:rPr>
            <w:t>Statistics Department</w:t>
          </w:r>
        </w:p>
        <w:p w14:paraId="09A86313" w14:textId="77777777" w:rsidR="00591697" w:rsidRPr="00CA0798" w:rsidRDefault="00591697" w:rsidP="00760F3B">
          <w:pPr>
            <w:autoSpaceDE w:val="0"/>
            <w:autoSpaceDN w:val="0"/>
            <w:adjustRightInd w:val="0"/>
            <w:jc w:val="both"/>
            <w:rPr>
              <w:rFonts w:ascii="Times New Roman" w:hAnsi="Times New Roman"/>
              <w:color w:val="000000"/>
              <w:sz w:val="24"/>
              <w:szCs w:val="24"/>
              <w:lang w:val="en-GB"/>
            </w:rPr>
          </w:pPr>
        </w:p>
        <w:p w14:paraId="1BED9391" w14:textId="7890EC51" w:rsidR="00591697" w:rsidRPr="00760F3B" w:rsidRDefault="00591697" w:rsidP="00760F3B">
          <w:pPr>
            <w:autoSpaceDE w:val="0"/>
            <w:autoSpaceDN w:val="0"/>
            <w:adjustRightInd w:val="0"/>
            <w:jc w:val="both"/>
            <w:rPr>
              <w:rFonts w:ascii="Times New Roman" w:hAnsi="Times New Roman"/>
              <w:b/>
              <w:bCs/>
              <w:color w:val="000000"/>
              <w:sz w:val="40"/>
              <w:szCs w:val="40"/>
              <w:lang w:val="en-GB"/>
            </w:rPr>
          </w:pPr>
        </w:p>
        <w:p w14:paraId="0442ECF9" w14:textId="6AC6D104" w:rsidR="00591697" w:rsidRPr="00760F3B" w:rsidRDefault="00CA0798" w:rsidP="00760F3B">
          <w:pPr>
            <w:jc w:val="both"/>
            <w:rPr>
              <w:rFonts w:ascii="Times New Roman" w:hAnsi="Times New Roman"/>
              <w:b/>
              <w:sz w:val="24"/>
              <w:lang w:val="en-GB"/>
            </w:rPr>
          </w:pPr>
          <w:r w:rsidRPr="00760F3B">
            <w:rPr>
              <w:rFonts w:ascii="Times New Roman" w:hAnsi="Times New Roman"/>
              <w:noProof/>
            </w:rPr>
            <mc:AlternateContent>
              <mc:Choice Requires="wps">
                <w:drawing>
                  <wp:anchor distT="0" distB="0" distL="114300" distR="114300" simplePos="0" relativeHeight="251660288" behindDoc="0" locked="0" layoutInCell="1" allowOverlap="1" wp14:anchorId="68BDCEE8" wp14:editId="02290446">
                    <wp:simplePos x="0" y="0"/>
                    <wp:positionH relativeFrom="margin">
                      <wp:posOffset>1104265</wp:posOffset>
                    </wp:positionH>
                    <wp:positionV relativeFrom="page">
                      <wp:posOffset>4391025</wp:posOffset>
                    </wp:positionV>
                    <wp:extent cx="4114800" cy="23907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114800" cy="239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B0307" w14:textId="3379D4DF" w:rsidR="000164EB" w:rsidRPr="00CA0798" w:rsidRDefault="000164EB" w:rsidP="00CA0798">
                                <w:pPr>
                                  <w:autoSpaceDE w:val="0"/>
                                  <w:autoSpaceDN w:val="0"/>
                                  <w:adjustRightInd w:val="0"/>
                                  <w:jc w:val="center"/>
                                  <w:rPr>
                                    <w:rFonts w:eastAsia="Arial" w:cs="Arial"/>
                                    <w:b/>
                                    <w:color w:val="003199"/>
                                    <w:sz w:val="42"/>
                                    <w:szCs w:val="42"/>
                                    <w:lang w:val="en-GB"/>
                                  </w:rPr>
                                </w:pPr>
                                <w:r w:rsidRPr="00CA0798">
                                  <w:rPr>
                                    <w:rFonts w:eastAsia="Arial" w:cs="Arial"/>
                                    <w:b/>
                                    <w:color w:val="003199"/>
                                    <w:sz w:val="42"/>
                                    <w:szCs w:val="42"/>
                                    <w:lang w:val="en-GB"/>
                                  </w:rPr>
                                  <w:t>Guidance notes to Reporting Agents on Payment Statistics</w:t>
                                </w:r>
                              </w:p>
                              <w:p w14:paraId="652FE2A1" w14:textId="77777777" w:rsidR="000164EB" w:rsidRDefault="000164EB" w:rsidP="00CA0798">
                                <w:pPr>
                                  <w:autoSpaceDE w:val="0"/>
                                  <w:autoSpaceDN w:val="0"/>
                                  <w:adjustRightInd w:val="0"/>
                                  <w:jc w:val="center"/>
                                  <w:rPr>
                                    <w:rFonts w:cs="Arial"/>
                                    <w:color w:val="000000"/>
                                    <w:sz w:val="40"/>
                                    <w:szCs w:val="40"/>
                                    <w:lang w:val="en-GB"/>
                                  </w:rPr>
                                </w:pPr>
                              </w:p>
                              <w:p w14:paraId="79163871" w14:textId="77777777" w:rsidR="000164EB" w:rsidRPr="00CA0798" w:rsidRDefault="000164EB" w:rsidP="00CA0798">
                                <w:pPr>
                                  <w:spacing w:after="170" w:line="262" w:lineRule="auto"/>
                                  <w:jc w:val="center"/>
                                  <w:rPr>
                                    <w:rFonts w:eastAsia="Arial" w:cs="Arial"/>
                                    <w:color w:val="003199"/>
                                    <w:sz w:val="30"/>
                                    <w:szCs w:val="30"/>
                                    <w:lang w:val="en-GB"/>
                                  </w:rPr>
                                </w:pPr>
                                <w:r w:rsidRPr="00CA0798">
                                  <w:rPr>
                                    <w:rFonts w:eastAsia="Arial" w:cs="Arial"/>
                                    <w:color w:val="003199"/>
                                    <w:sz w:val="30"/>
                                    <w:szCs w:val="30"/>
                                    <w:lang w:val="en-GB"/>
                                  </w:rPr>
                                  <w:t xml:space="preserve">under the European Central Bank (ECB) adopted Regulation ECB/2020/59 (the Regulation) on </w:t>
                                </w:r>
                                <w:proofErr w:type="gramStart"/>
                                <w:r w:rsidRPr="00CA0798">
                                  <w:rPr>
                                    <w:rFonts w:eastAsia="Arial" w:cs="Arial"/>
                                    <w:color w:val="003199"/>
                                    <w:sz w:val="30"/>
                                    <w:szCs w:val="30"/>
                                    <w:lang w:val="en-GB"/>
                                  </w:rPr>
                                  <w:t>Payments</w:t>
                                </w:r>
                                <w:proofErr w:type="gramEnd"/>
                                <w:r w:rsidRPr="00CA0798">
                                  <w:rPr>
                                    <w:rFonts w:eastAsia="Arial" w:cs="Arial"/>
                                    <w:color w:val="003199"/>
                                    <w:sz w:val="30"/>
                                    <w:szCs w:val="30"/>
                                    <w:lang w:val="en-GB"/>
                                  </w:rPr>
                                  <w:t xml:space="preserve"> statistics amending Regulation ECB/2013/43</w:t>
                                </w:r>
                              </w:p>
                              <w:p w14:paraId="64802DDA" w14:textId="77777777" w:rsidR="000164EB" w:rsidRDefault="000164EB" w:rsidP="00591697">
                                <w:pPr>
                                  <w:autoSpaceDE w:val="0"/>
                                  <w:autoSpaceDN w:val="0"/>
                                  <w:adjustRightInd w:val="0"/>
                                  <w:rPr>
                                    <w:rFonts w:cs="Arial"/>
                                    <w:sz w:val="32"/>
                                    <w:szCs w:val="32"/>
                                    <w:lang w:val="en-GB"/>
                                  </w:rPr>
                                </w:pPr>
                              </w:p>
                              <w:p w14:paraId="246BE621" w14:textId="77777777" w:rsidR="000164EB" w:rsidRDefault="000164EB" w:rsidP="00591697">
                                <w:pPr>
                                  <w:autoSpaceDE w:val="0"/>
                                  <w:autoSpaceDN w:val="0"/>
                                  <w:adjustRightInd w:val="0"/>
                                  <w:rPr>
                                    <w:rFonts w:cs="Arial"/>
                                    <w:sz w:val="32"/>
                                    <w:szCs w:val="32"/>
                                    <w:lang w:val="en-GB"/>
                                  </w:rPr>
                                </w:pPr>
                              </w:p>
                              <w:p w14:paraId="5A6842F9" w14:textId="77777777" w:rsidR="000164EB" w:rsidRDefault="000164EB" w:rsidP="00591697">
                                <w:pPr>
                                  <w:autoSpaceDE w:val="0"/>
                                  <w:autoSpaceDN w:val="0"/>
                                  <w:adjustRightInd w:val="0"/>
                                  <w:rPr>
                                    <w:rFonts w:cs="Arial"/>
                                    <w:sz w:val="32"/>
                                    <w:szCs w:val="32"/>
                                    <w:lang w:val="en-GB"/>
                                  </w:rPr>
                                </w:pPr>
                              </w:p>
                              <w:p w14:paraId="6CDE3321" w14:textId="77777777" w:rsidR="000164EB" w:rsidRDefault="000164EB" w:rsidP="00591697">
                                <w:pPr>
                                  <w:autoSpaceDE w:val="0"/>
                                  <w:autoSpaceDN w:val="0"/>
                                  <w:adjustRightInd w:val="0"/>
                                  <w:rPr>
                                    <w:rFonts w:cs="Arial"/>
                                    <w:sz w:val="32"/>
                                    <w:szCs w:val="32"/>
                                    <w:lang w:val="en-GB"/>
                                  </w:rPr>
                                </w:pPr>
                              </w:p>
                              <w:p w14:paraId="235C6FAD" w14:textId="77777777" w:rsidR="000164EB" w:rsidRDefault="000164EB" w:rsidP="00591697">
                                <w:pPr>
                                  <w:autoSpaceDE w:val="0"/>
                                  <w:autoSpaceDN w:val="0"/>
                                  <w:adjustRightInd w:val="0"/>
                                  <w:rPr>
                                    <w:rFonts w:cs="Arial"/>
                                    <w:sz w:val="32"/>
                                    <w:szCs w:val="32"/>
                                    <w:lang w:val="en-GB"/>
                                  </w:rPr>
                                </w:pPr>
                              </w:p>
                              <w:p w14:paraId="76F40018" w14:textId="77777777" w:rsidR="000164EB" w:rsidRPr="00D84260" w:rsidRDefault="000164EB" w:rsidP="00591697">
                                <w:pPr>
                                  <w:autoSpaceDE w:val="0"/>
                                  <w:autoSpaceDN w:val="0"/>
                                  <w:adjustRightInd w:val="0"/>
                                  <w:jc w:val="center"/>
                                  <w:rPr>
                                    <w:rFonts w:cs="Arial"/>
                                    <w:sz w:val="28"/>
                                    <w:szCs w:val="28"/>
                                    <w:lang w:val="en-GB"/>
                                  </w:rPr>
                                </w:pPr>
                              </w:p>
                              <w:p w14:paraId="688AF23F" w14:textId="77777777" w:rsidR="000164EB" w:rsidRDefault="000164EB" w:rsidP="00591697">
                                <w:pPr>
                                  <w:autoSpaceDE w:val="0"/>
                                  <w:autoSpaceDN w:val="0"/>
                                  <w:adjustRightInd w:val="0"/>
                                  <w:rPr>
                                    <w:rFonts w:cs="Arial"/>
                                    <w:sz w:val="32"/>
                                    <w:szCs w:val="32"/>
                                    <w:lang w:val="en-GB"/>
                                  </w:rPr>
                                </w:pPr>
                              </w:p>
                              <w:p w14:paraId="357C5A6A" w14:textId="77777777" w:rsidR="000164EB" w:rsidRDefault="000164EB" w:rsidP="00591697">
                                <w:pPr>
                                  <w:autoSpaceDE w:val="0"/>
                                  <w:autoSpaceDN w:val="0"/>
                                  <w:adjustRightInd w:val="0"/>
                                  <w:rPr>
                                    <w:rFonts w:cs="Arial"/>
                                    <w:sz w:val="32"/>
                                    <w:szCs w:val="32"/>
                                    <w:lang w:val="en-GB"/>
                                  </w:rPr>
                                </w:pPr>
                              </w:p>
                              <w:p w14:paraId="7EA57430" w14:textId="77777777" w:rsidR="000164EB" w:rsidRDefault="000164EB" w:rsidP="00591697">
                                <w:pPr>
                                  <w:autoSpaceDE w:val="0"/>
                                  <w:autoSpaceDN w:val="0"/>
                                  <w:adjustRightInd w:val="0"/>
                                  <w:rPr>
                                    <w:rFonts w:cs="Arial"/>
                                    <w:sz w:val="32"/>
                                    <w:szCs w:val="32"/>
                                    <w:lang w:val="en-GB"/>
                                  </w:rPr>
                                </w:pPr>
                              </w:p>
                              <w:p w14:paraId="2C6753EB" w14:textId="77777777" w:rsidR="000164EB" w:rsidRDefault="000164EB" w:rsidP="00591697">
                                <w:pPr>
                                  <w:autoSpaceDE w:val="0"/>
                                  <w:autoSpaceDN w:val="0"/>
                                  <w:adjustRightInd w:val="0"/>
                                  <w:rPr>
                                    <w:rFonts w:cs="Arial"/>
                                    <w:sz w:val="32"/>
                                    <w:szCs w:val="32"/>
                                    <w:lang w:val="en-GB"/>
                                  </w:rPr>
                                </w:pPr>
                              </w:p>
                              <w:p w14:paraId="130B293A" w14:textId="77777777" w:rsidR="000164EB" w:rsidRDefault="000164EB" w:rsidP="00591697">
                                <w:pPr>
                                  <w:autoSpaceDE w:val="0"/>
                                  <w:autoSpaceDN w:val="0"/>
                                  <w:adjustRightInd w:val="0"/>
                                  <w:rPr>
                                    <w:rFonts w:cs="Arial"/>
                                    <w:sz w:val="32"/>
                                    <w:szCs w:val="32"/>
                                    <w:lang w:val="en-GB"/>
                                  </w:rPr>
                                </w:pPr>
                              </w:p>
                              <w:p w14:paraId="2E395B28" w14:textId="77777777" w:rsidR="000164EB" w:rsidRPr="009E30F5" w:rsidRDefault="000164EB" w:rsidP="00591697">
                                <w:pPr>
                                  <w:autoSpaceDE w:val="0"/>
                                  <w:autoSpaceDN w:val="0"/>
                                  <w:adjustRightInd w:val="0"/>
                                  <w:rPr>
                                    <w:rFonts w:cs="Arial"/>
                                    <w:color w:val="000000"/>
                                    <w:sz w:val="32"/>
                                    <w:szCs w:val="32"/>
                                    <w:lang w:val="en-GB"/>
                                  </w:rPr>
                                </w:pPr>
                              </w:p>
                              <w:p w14:paraId="696AD323" w14:textId="77777777" w:rsidR="000164EB" w:rsidRPr="009E30F5" w:rsidRDefault="000164EB" w:rsidP="00591697">
                                <w:pPr>
                                  <w:spacing w:before="120"/>
                                  <w:rPr>
                                    <w:b/>
                                    <w:color w:val="404040" w:themeColor="text1" w:themeTint="BF"/>
                                    <w:sz w:val="36"/>
                                    <w:szCs w:val="36"/>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8BDCEE8" id="_x0000_t202" coordsize="21600,21600" o:spt="202" path="m,l,21600r21600,l21600,xe">
                    <v:stroke joinstyle="miter"/>
                    <v:path gradientshapeok="t" o:connecttype="rect"/>
                  </v:shapetype>
                  <v:shape id="Text Box 2" o:spid="_x0000_s1026" type="#_x0000_t202" style="position:absolute;left:0;text-align:left;margin-left:86.95pt;margin-top:345.75pt;width:324pt;height:18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CeXwIAAC4FAAAOAAAAZHJzL2Uyb0RvYy54bWysVEtv2zAMvg/YfxB0X+z0vaBOkaXIMCBo&#10;i6VDz4osNcZkUaOU2NmvLyXbSdHt0mEXmRY/vj6Sur5pa8N2Cn0FtuDjUc6ZshLKyj4X/Mfj4tMV&#10;Zz4IWwoDVhV8rzy/mX78cN24iTqBDZhSISMn1k8aV/BNCG6SZV5uVC38CJyypNSAtQj0i89ZiaIh&#10;77XJTvL8ImsAS4cglfd0e9sp+TT511rJcK+1V4GZglNuIZ2YznU8s+m1mDyjcJtK9mmIf8iiFpWl&#10;oAdXtyIItsXqD1d1JRE86DCSUGegdSVVqoGqGedvqllthFOpFiLHuwNN/v+5lXe7lXtAFtov0FID&#10;IyGN8xNPl7GeVmMdv5QpIz1RuD/QptrAJF2ejcdnVzmpJOlOTj/nl5fn0U92NHfow1cFNYtCwZH6&#10;kugSu6UPHXSAxGgWFpUxqTfGsqbgF6fneTI4aMi5sRGrUpd7N8fUkxT2RkWMsd+VZlWZKogXab7U&#10;3CDbCZoMIaWyIRWf/BI6ojQl8R7DHn/M6j3GXR1DZLDhYFxXFjBV/ybt8ueQsu7wxPmruqMY2nXb&#10;t3QN5Z46jdAtgXdyUVE3lsKHB4E09dRB2uRwT4c2QKxDL3G2Afz9t/uIp2EkLWcNbVHB/a+tQMWZ&#10;+WZpTOPKDQIOwnoQ7LaeA9E/pjfCySSSAQYziBqhfqIFn8UopBJWUqyCh0Gch26X6YGQajZLIFos&#10;J8LSrpyMrmM34mw9tk8CXT+AgWb3Dob9EpM3c9hho6WF2TaArtKQRkI7FnuiaSnTmPcPSNz61/8J&#10;dXzmpi8AAAD//wMAUEsDBBQABgAIAAAAIQCiMwbb3wAAAAwBAAAPAAAAZHJzL2Rvd25yZXYueG1s&#10;TI/JTsQwEETvSPyD1UjcGDuDCJkQZ4RYbqwDSHBz4iaJ8BLZTib8Pc0JjtX1VF1VbRdr2IwhDt5J&#10;yFYCGLrW68F1El5fbk8KYDEpp5XxDiV8Y4RtfXhQqVL7vXvGeZc6RiEulkpCn9JYch7bHq2KKz+i&#10;I+/TB6sSydBxHdSewq3hayFybtXg6EOvRrzqsf3aTVaCeY/hrhHpY77u7tPTI5/ebrIHKY+PlssL&#10;YAmX9AfDb32qDjV1avzkdGSG9PnphlAJ+SY7A0ZEsc7o0pAl8kIAryv+f0T9AwAA//8DAFBLAQIt&#10;ABQABgAIAAAAIQC2gziS/gAAAOEBAAATAAAAAAAAAAAAAAAAAAAAAABbQ29udGVudF9UeXBlc10u&#10;eG1sUEsBAi0AFAAGAAgAAAAhADj9If/WAAAAlAEAAAsAAAAAAAAAAAAAAAAALwEAAF9yZWxzLy5y&#10;ZWxzUEsBAi0AFAAGAAgAAAAhAKFWwJ5fAgAALgUAAA4AAAAAAAAAAAAAAAAALgIAAGRycy9lMm9E&#10;b2MueG1sUEsBAi0AFAAGAAgAAAAhAKIzBtvfAAAADAEAAA8AAAAAAAAAAAAAAAAAuQQAAGRycy9k&#10;b3ducmV2LnhtbFBLBQYAAAAABAAEAPMAAADFBQAAAAA=&#10;" filled="f" stroked="f" strokeweight=".5pt">
                    <v:textbox inset="0,0,0,0">
                      <w:txbxContent>
                        <w:p w14:paraId="177B0307" w14:textId="3379D4DF" w:rsidR="000164EB" w:rsidRPr="00CA0798" w:rsidRDefault="000164EB" w:rsidP="00CA0798">
                          <w:pPr>
                            <w:autoSpaceDE w:val="0"/>
                            <w:autoSpaceDN w:val="0"/>
                            <w:adjustRightInd w:val="0"/>
                            <w:jc w:val="center"/>
                            <w:rPr>
                              <w:rFonts w:eastAsia="Arial" w:cs="Arial"/>
                              <w:b/>
                              <w:color w:val="003199"/>
                              <w:sz w:val="42"/>
                              <w:szCs w:val="42"/>
                              <w:lang w:val="en-GB"/>
                            </w:rPr>
                          </w:pPr>
                          <w:r w:rsidRPr="00CA0798">
                            <w:rPr>
                              <w:rFonts w:eastAsia="Arial" w:cs="Arial"/>
                              <w:b/>
                              <w:color w:val="003199"/>
                              <w:sz w:val="42"/>
                              <w:szCs w:val="42"/>
                              <w:lang w:val="en-GB"/>
                            </w:rPr>
                            <w:t>Guidance notes to Reporting Agents on Payment Statistics</w:t>
                          </w:r>
                        </w:p>
                        <w:p w14:paraId="652FE2A1" w14:textId="77777777" w:rsidR="000164EB" w:rsidRDefault="000164EB" w:rsidP="00CA0798">
                          <w:pPr>
                            <w:autoSpaceDE w:val="0"/>
                            <w:autoSpaceDN w:val="0"/>
                            <w:adjustRightInd w:val="0"/>
                            <w:jc w:val="center"/>
                            <w:rPr>
                              <w:rFonts w:cs="Arial"/>
                              <w:color w:val="000000"/>
                              <w:sz w:val="40"/>
                              <w:szCs w:val="40"/>
                              <w:lang w:val="en-GB"/>
                            </w:rPr>
                          </w:pPr>
                        </w:p>
                        <w:p w14:paraId="79163871" w14:textId="77777777" w:rsidR="000164EB" w:rsidRPr="00CA0798" w:rsidRDefault="000164EB" w:rsidP="00CA0798">
                          <w:pPr>
                            <w:spacing w:after="170" w:line="262" w:lineRule="auto"/>
                            <w:jc w:val="center"/>
                            <w:rPr>
                              <w:rFonts w:eastAsia="Arial" w:cs="Arial"/>
                              <w:color w:val="003199"/>
                              <w:sz w:val="30"/>
                              <w:szCs w:val="30"/>
                              <w:lang w:val="en-GB"/>
                            </w:rPr>
                          </w:pPr>
                          <w:r w:rsidRPr="00CA0798">
                            <w:rPr>
                              <w:rFonts w:eastAsia="Arial" w:cs="Arial"/>
                              <w:color w:val="003199"/>
                              <w:sz w:val="30"/>
                              <w:szCs w:val="30"/>
                              <w:lang w:val="en-GB"/>
                            </w:rPr>
                            <w:t xml:space="preserve">under the European Central Bank (ECB) adopted Regulation ECB/2020/59 (the Regulation) on </w:t>
                          </w:r>
                          <w:proofErr w:type="gramStart"/>
                          <w:r w:rsidRPr="00CA0798">
                            <w:rPr>
                              <w:rFonts w:eastAsia="Arial" w:cs="Arial"/>
                              <w:color w:val="003199"/>
                              <w:sz w:val="30"/>
                              <w:szCs w:val="30"/>
                              <w:lang w:val="en-GB"/>
                            </w:rPr>
                            <w:t>Payments</w:t>
                          </w:r>
                          <w:proofErr w:type="gramEnd"/>
                          <w:r w:rsidRPr="00CA0798">
                            <w:rPr>
                              <w:rFonts w:eastAsia="Arial" w:cs="Arial"/>
                              <w:color w:val="003199"/>
                              <w:sz w:val="30"/>
                              <w:szCs w:val="30"/>
                              <w:lang w:val="en-GB"/>
                            </w:rPr>
                            <w:t xml:space="preserve"> statistics amending Regulation ECB/2013/43</w:t>
                          </w:r>
                        </w:p>
                        <w:p w14:paraId="64802DDA" w14:textId="77777777" w:rsidR="000164EB" w:rsidRDefault="000164EB" w:rsidP="00591697">
                          <w:pPr>
                            <w:autoSpaceDE w:val="0"/>
                            <w:autoSpaceDN w:val="0"/>
                            <w:adjustRightInd w:val="0"/>
                            <w:rPr>
                              <w:rFonts w:cs="Arial"/>
                              <w:sz w:val="32"/>
                              <w:szCs w:val="32"/>
                              <w:lang w:val="en-GB"/>
                            </w:rPr>
                          </w:pPr>
                        </w:p>
                        <w:p w14:paraId="246BE621" w14:textId="77777777" w:rsidR="000164EB" w:rsidRDefault="000164EB" w:rsidP="00591697">
                          <w:pPr>
                            <w:autoSpaceDE w:val="0"/>
                            <w:autoSpaceDN w:val="0"/>
                            <w:adjustRightInd w:val="0"/>
                            <w:rPr>
                              <w:rFonts w:cs="Arial"/>
                              <w:sz w:val="32"/>
                              <w:szCs w:val="32"/>
                              <w:lang w:val="en-GB"/>
                            </w:rPr>
                          </w:pPr>
                        </w:p>
                        <w:p w14:paraId="5A6842F9" w14:textId="77777777" w:rsidR="000164EB" w:rsidRDefault="000164EB" w:rsidP="00591697">
                          <w:pPr>
                            <w:autoSpaceDE w:val="0"/>
                            <w:autoSpaceDN w:val="0"/>
                            <w:adjustRightInd w:val="0"/>
                            <w:rPr>
                              <w:rFonts w:cs="Arial"/>
                              <w:sz w:val="32"/>
                              <w:szCs w:val="32"/>
                              <w:lang w:val="en-GB"/>
                            </w:rPr>
                          </w:pPr>
                        </w:p>
                        <w:p w14:paraId="6CDE3321" w14:textId="77777777" w:rsidR="000164EB" w:rsidRDefault="000164EB" w:rsidP="00591697">
                          <w:pPr>
                            <w:autoSpaceDE w:val="0"/>
                            <w:autoSpaceDN w:val="0"/>
                            <w:adjustRightInd w:val="0"/>
                            <w:rPr>
                              <w:rFonts w:cs="Arial"/>
                              <w:sz w:val="32"/>
                              <w:szCs w:val="32"/>
                              <w:lang w:val="en-GB"/>
                            </w:rPr>
                          </w:pPr>
                        </w:p>
                        <w:p w14:paraId="235C6FAD" w14:textId="77777777" w:rsidR="000164EB" w:rsidRDefault="000164EB" w:rsidP="00591697">
                          <w:pPr>
                            <w:autoSpaceDE w:val="0"/>
                            <w:autoSpaceDN w:val="0"/>
                            <w:adjustRightInd w:val="0"/>
                            <w:rPr>
                              <w:rFonts w:cs="Arial"/>
                              <w:sz w:val="32"/>
                              <w:szCs w:val="32"/>
                              <w:lang w:val="en-GB"/>
                            </w:rPr>
                          </w:pPr>
                        </w:p>
                        <w:p w14:paraId="76F40018" w14:textId="77777777" w:rsidR="000164EB" w:rsidRPr="00D84260" w:rsidRDefault="000164EB" w:rsidP="00591697">
                          <w:pPr>
                            <w:autoSpaceDE w:val="0"/>
                            <w:autoSpaceDN w:val="0"/>
                            <w:adjustRightInd w:val="0"/>
                            <w:jc w:val="center"/>
                            <w:rPr>
                              <w:rFonts w:cs="Arial"/>
                              <w:sz w:val="28"/>
                              <w:szCs w:val="28"/>
                              <w:lang w:val="en-GB"/>
                            </w:rPr>
                          </w:pPr>
                        </w:p>
                        <w:p w14:paraId="688AF23F" w14:textId="77777777" w:rsidR="000164EB" w:rsidRDefault="000164EB" w:rsidP="00591697">
                          <w:pPr>
                            <w:autoSpaceDE w:val="0"/>
                            <w:autoSpaceDN w:val="0"/>
                            <w:adjustRightInd w:val="0"/>
                            <w:rPr>
                              <w:rFonts w:cs="Arial"/>
                              <w:sz w:val="32"/>
                              <w:szCs w:val="32"/>
                              <w:lang w:val="en-GB"/>
                            </w:rPr>
                          </w:pPr>
                        </w:p>
                        <w:p w14:paraId="357C5A6A" w14:textId="77777777" w:rsidR="000164EB" w:rsidRDefault="000164EB" w:rsidP="00591697">
                          <w:pPr>
                            <w:autoSpaceDE w:val="0"/>
                            <w:autoSpaceDN w:val="0"/>
                            <w:adjustRightInd w:val="0"/>
                            <w:rPr>
                              <w:rFonts w:cs="Arial"/>
                              <w:sz w:val="32"/>
                              <w:szCs w:val="32"/>
                              <w:lang w:val="en-GB"/>
                            </w:rPr>
                          </w:pPr>
                        </w:p>
                        <w:p w14:paraId="7EA57430" w14:textId="77777777" w:rsidR="000164EB" w:rsidRDefault="000164EB" w:rsidP="00591697">
                          <w:pPr>
                            <w:autoSpaceDE w:val="0"/>
                            <w:autoSpaceDN w:val="0"/>
                            <w:adjustRightInd w:val="0"/>
                            <w:rPr>
                              <w:rFonts w:cs="Arial"/>
                              <w:sz w:val="32"/>
                              <w:szCs w:val="32"/>
                              <w:lang w:val="en-GB"/>
                            </w:rPr>
                          </w:pPr>
                        </w:p>
                        <w:p w14:paraId="2C6753EB" w14:textId="77777777" w:rsidR="000164EB" w:rsidRDefault="000164EB" w:rsidP="00591697">
                          <w:pPr>
                            <w:autoSpaceDE w:val="0"/>
                            <w:autoSpaceDN w:val="0"/>
                            <w:adjustRightInd w:val="0"/>
                            <w:rPr>
                              <w:rFonts w:cs="Arial"/>
                              <w:sz w:val="32"/>
                              <w:szCs w:val="32"/>
                              <w:lang w:val="en-GB"/>
                            </w:rPr>
                          </w:pPr>
                        </w:p>
                        <w:p w14:paraId="130B293A" w14:textId="77777777" w:rsidR="000164EB" w:rsidRDefault="000164EB" w:rsidP="00591697">
                          <w:pPr>
                            <w:autoSpaceDE w:val="0"/>
                            <w:autoSpaceDN w:val="0"/>
                            <w:adjustRightInd w:val="0"/>
                            <w:rPr>
                              <w:rFonts w:cs="Arial"/>
                              <w:sz w:val="32"/>
                              <w:szCs w:val="32"/>
                              <w:lang w:val="en-GB"/>
                            </w:rPr>
                          </w:pPr>
                        </w:p>
                        <w:p w14:paraId="2E395B28" w14:textId="77777777" w:rsidR="000164EB" w:rsidRPr="009E30F5" w:rsidRDefault="000164EB" w:rsidP="00591697">
                          <w:pPr>
                            <w:autoSpaceDE w:val="0"/>
                            <w:autoSpaceDN w:val="0"/>
                            <w:adjustRightInd w:val="0"/>
                            <w:rPr>
                              <w:rFonts w:cs="Arial"/>
                              <w:color w:val="000000"/>
                              <w:sz w:val="32"/>
                              <w:szCs w:val="32"/>
                              <w:lang w:val="en-GB"/>
                            </w:rPr>
                          </w:pPr>
                        </w:p>
                        <w:p w14:paraId="696AD323" w14:textId="77777777" w:rsidR="000164EB" w:rsidRPr="009E30F5" w:rsidRDefault="000164EB" w:rsidP="00591697">
                          <w:pPr>
                            <w:spacing w:before="120"/>
                            <w:rPr>
                              <w:b/>
                              <w:color w:val="404040" w:themeColor="text1" w:themeTint="BF"/>
                              <w:sz w:val="36"/>
                              <w:szCs w:val="36"/>
                              <w:lang w:val="en-GB"/>
                            </w:rPr>
                          </w:pPr>
                        </w:p>
                      </w:txbxContent>
                    </v:textbox>
                    <w10:wrap anchorx="margin" anchory="page"/>
                  </v:shape>
                </w:pict>
              </mc:Fallback>
            </mc:AlternateContent>
          </w:r>
          <w:r w:rsidR="00591697" w:rsidRPr="00760F3B">
            <w:rPr>
              <w:rFonts w:ascii="Times New Roman" w:hAnsi="Times New Roman"/>
              <w:noProof/>
            </w:rPr>
            <mc:AlternateContent>
              <mc:Choice Requires="wps">
                <w:drawing>
                  <wp:anchor distT="0" distB="0" distL="114300" distR="114300" simplePos="0" relativeHeight="251659264" behindDoc="0" locked="0" layoutInCell="1" allowOverlap="1" wp14:anchorId="56EE5AFD" wp14:editId="181A51F9">
                    <wp:simplePos x="0" y="0"/>
                    <wp:positionH relativeFrom="margin">
                      <wp:posOffset>1944370</wp:posOffset>
                    </wp:positionH>
                    <wp:positionV relativeFrom="page">
                      <wp:posOffset>9144000</wp:posOffset>
                    </wp:positionV>
                    <wp:extent cx="1908810" cy="396875"/>
                    <wp:effectExtent l="0" t="0" r="15240" b="3175"/>
                    <wp:wrapNone/>
                    <wp:docPr id="1" name="Text Box 1"/>
                    <wp:cNvGraphicFramePr/>
                    <a:graphic xmlns:a="http://schemas.openxmlformats.org/drawingml/2006/main">
                      <a:graphicData uri="http://schemas.microsoft.com/office/word/2010/wordprocessingShape">
                        <wps:wsp>
                          <wps:cNvSpPr txBox="1"/>
                          <wps:spPr>
                            <a:xfrm>
                              <a:off x="0" y="0"/>
                              <a:ext cx="1908810" cy="39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022D24" w14:textId="49BEEB29" w:rsidR="000164EB" w:rsidRPr="00CA0798" w:rsidRDefault="00C5314E" w:rsidP="00591697">
                                <w:pPr>
                                  <w:spacing w:before="120"/>
                                  <w:jc w:val="center"/>
                                  <w:rPr>
                                    <w:b/>
                                    <w:color w:val="404040" w:themeColor="text1" w:themeTint="BF"/>
                                    <w:sz w:val="34"/>
                                    <w:szCs w:val="34"/>
                                    <w:lang w:val="en-GB"/>
                                  </w:rPr>
                                </w:pPr>
                                <w:r>
                                  <w:rPr>
                                    <w:b/>
                                    <w:color w:val="404040" w:themeColor="text1" w:themeTint="BF"/>
                                    <w:sz w:val="34"/>
                                    <w:szCs w:val="34"/>
                                    <w:lang w:val="en-US"/>
                                  </w:rPr>
                                  <w:t>February</w:t>
                                </w:r>
                                <w:r w:rsidR="000164EB" w:rsidRPr="00CA0798">
                                  <w:rPr>
                                    <w:b/>
                                    <w:color w:val="404040" w:themeColor="text1" w:themeTint="BF"/>
                                    <w:sz w:val="34"/>
                                    <w:szCs w:val="34"/>
                                    <w:lang w:val="en-GB"/>
                                  </w:rPr>
                                  <w:t xml:space="preserve"> 202</w:t>
                                </w:r>
                                <w:r w:rsidR="0087154F">
                                  <w:rPr>
                                    <w:b/>
                                    <w:color w:val="404040" w:themeColor="text1" w:themeTint="BF"/>
                                    <w:sz w:val="34"/>
                                    <w:szCs w:val="34"/>
                                    <w:lang w:val="en-GB"/>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EE5AFD" id="Text Box 1" o:spid="_x0000_s1027" type="#_x0000_t202" style="position:absolute;left:0;text-align:left;margin-left:153.1pt;margin-top:10in;width:150.3pt;height:3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n1YAIAADQFAAAOAAAAZHJzL2Uyb0RvYy54bWysVN9P2zAQfp+0/8Hy+0gLgpWKFHUgpkmI&#10;ocHEs+vYNJrj887XJt1fv7OTtIjthWkvzsX33a/v7nxx2TVObA3GGnwpp0cTKYzXUNX+uZTfH28+&#10;zKSIpHylHHhTyp2J8nLx/t1FG+bmGNbgKoOCnfg4b0Mp10RhXhRRr02j4hEE41lpARtF/IvPRYWq&#10;Ze+NK44nk7OiBawCgjYx8u11r5SL7N9ao+mrtdGQcKXk3CifmM9VOovFhZo/owrrWg9pqH/IolG1&#10;56B7V9eKlNhg/YerptYIESwdaWgKsLbWJtfA1Uwnr6p5WKtgci1MTgx7muL/c6vvtg/hHgV1n6Dj&#10;BiZC2hDnkS9TPZ3FJn05U8F6pnC3p810JHQyOp/MZlNWadadnJ/NPp4mN8XBOmCkzwYakYRSIrcl&#10;s6W2t5F66AhJwTzc1M7l1jgv2lKenZxOssFew86dT1iTmzy4OWSeJdo5kzDOfzNW1FUuIF3k8TJX&#10;DsVW8WAorY2nXHv2y+iEspzEWwwH/CGrtxj3dYyRwdPeuKk9YK7+VdrVjzFl2+OZ8xd1J5G6VceF&#10;v2jsCqod9xuhX4UY9E3NTblVke4V8uxzH3mf6Ssf1gGTD4MkxRrw19/uE55HkrVStLxLpYw/NwqN&#10;FO6L52FNizcKOAqrUfCb5gq4C1N+KYLOIhsguVG0CM0Tr/kyRWGV8ppjlZJG8Yr6jeZnQpvlMoN4&#10;vYKiW/8QdHKdmpJG7LF7UhiGOSSe4DsYt0zNX41jj02WHpYbAlvnWU289iwOfPNq5mkfnpG0+y//&#10;M+rw2C1+AwAA//8DAFBLAwQUAAYACAAAACEARNZCCeEAAAANAQAADwAAAGRycy9kb3ducmV2Lnht&#10;bEyPzU7DMBCE70i8g7VI3Kjd0EZViFMhfm5AoQUJbk5skgh7HdlOGt6e5QTHnfk0O1NuZ2fZZELs&#10;PUpYLgQwg43XPbYSXg/3FxtgMSnUyno0Er5NhG11elKqQvsjvphpn1pGIRgLJaFLaSg4j01nnIoL&#10;Pxgk79MHpxKdoeU6qCOFO8szIXLuVI/0oVODuelM87UfnQT7HsNDLdLHdNs+pucdH9/ulk9Snp/N&#10;11fAkpnTHwy/9ak6VNSp9iPqyKyES5FnhJKxWglaRUguclpTk7QW2Rp4VfL/K6ofAAAA//8DAFBL&#10;AQItABQABgAIAAAAIQC2gziS/gAAAOEBAAATAAAAAAAAAAAAAAAAAAAAAABbQ29udGVudF9UeXBl&#10;c10ueG1sUEsBAi0AFAAGAAgAAAAhADj9If/WAAAAlAEAAAsAAAAAAAAAAAAAAAAALwEAAF9yZWxz&#10;Ly5yZWxzUEsBAi0AFAAGAAgAAAAhAHC42fVgAgAANAUAAA4AAAAAAAAAAAAAAAAALgIAAGRycy9l&#10;Mm9Eb2MueG1sUEsBAi0AFAAGAAgAAAAhAETWQgnhAAAADQEAAA8AAAAAAAAAAAAAAAAAugQAAGRy&#10;cy9kb3ducmV2LnhtbFBLBQYAAAAABAAEAPMAAADIBQAAAAA=&#10;" filled="f" stroked="f" strokeweight=".5pt">
                    <v:textbox inset="0,0,0,0">
                      <w:txbxContent>
                        <w:p w14:paraId="0F022D24" w14:textId="49BEEB29" w:rsidR="000164EB" w:rsidRPr="00CA0798" w:rsidRDefault="00C5314E" w:rsidP="00591697">
                          <w:pPr>
                            <w:spacing w:before="120"/>
                            <w:jc w:val="center"/>
                            <w:rPr>
                              <w:b/>
                              <w:color w:val="404040" w:themeColor="text1" w:themeTint="BF"/>
                              <w:sz w:val="34"/>
                              <w:szCs w:val="34"/>
                              <w:lang w:val="en-GB"/>
                            </w:rPr>
                          </w:pPr>
                          <w:r>
                            <w:rPr>
                              <w:b/>
                              <w:color w:val="404040" w:themeColor="text1" w:themeTint="BF"/>
                              <w:sz w:val="34"/>
                              <w:szCs w:val="34"/>
                              <w:lang w:val="en-US"/>
                            </w:rPr>
                            <w:t>February</w:t>
                          </w:r>
                          <w:r w:rsidR="000164EB" w:rsidRPr="00CA0798">
                            <w:rPr>
                              <w:b/>
                              <w:color w:val="404040" w:themeColor="text1" w:themeTint="BF"/>
                              <w:sz w:val="34"/>
                              <w:szCs w:val="34"/>
                              <w:lang w:val="en-GB"/>
                            </w:rPr>
                            <w:t xml:space="preserve"> 202</w:t>
                          </w:r>
                          <w:r w:rsidR="0087154F">
                            <w:rPr>
                              <w:b/>
                              <w:color w:val="404040" w:themeColor="text1" w:themeTint="BF"/>
                              <w:sz w:val="34"/>
                              <w:szCs w:val="34"/>
                              <w:lang w:val="en-GB"/>
                            </w:rPr>
                            <w:t>6</w:t>
                          </w:r>
                        </w:p>
                      </w:txbxContent>
                    </v:textbox>
                    <w10:wrap anchorx="margin" anchory="page"/>
                  </v:shape>
                </w:pict>
              </mc:Fallback>
            </mc:AlternateContent>
          </w:r>
          <w:r w:rsidR="00591697" w:rsidRPr="00760F3B">
            <w:rPr>
              <w:rFonts w:ascii="Times New Roman" w:hAnsi="Times New Roman"/>
              <w:lang w:val="en-GB"/>
            </w:rPr>
            <w:br w:type="page"/>
          </w:r>
        </w:p>
      </w:sdtContent>
    </w:sdt>
    <w:sdt>
      <w:sdtPr>
        <w:rPr>
          <w:rFonts w:ascii="Times New Roman" w:hAnsi="Times New Roman"/>
          <w:i/>
          <w:szCs w:val="40"/>
        </w:rPr>
        <w:id w:val="984128760"/>
        <w:docPartObj>
          <w:docPartGallery w:val="Table of Contents"/>
          <w:docPartUnique/>
        </w:docPartObj>
      </w:sdtPr>
      <w:sdtEndPr>
        <w:rPr>
          <w:bCs/>
          <w:i w:val="0"/>
          <w:noProof/>
          <w:color w:val="1F3864" w:themeColor="accent5" w:themeShade="80"/>
          <w:szCs w:val="20"/>
        </w:rPr>
      </w:sdtEndPr>
      <w:sdtContent>
        <w:p w14:paraId="1689C5BE" w14:textId="77777777" w:rsidR="00591697" w:rsidRPr="00D67106" w:rsidRDefault="00591697" w:rsidP="00760F3B">
          <w:pPr>
            <w:spacing w:after="240"/>
            <w:jc w:val="both"/>
            <w:rPr>
              <w:rFonts w:ascii="Times New Roman" w:hAnsi="Times New Roman"/>
              <w:color w:val="003199"/>
              <w:sz w:val="40"/>
              <w:szCs w:val="40"/>
            </w:rPr>
          </w:pPr>
          <w:proofErr w:type="spellStart"/>
          <w:r w:rsidRPr="00D67106">
            <w:rPr>
              <w:rFonts w:ascii="Times New Roman" w:hAnsi="Times New Roman"/>
              <w:color w:val="003199"/>
              <w:sz w:val="40"/>
              <w:szCs w:val="40"/>
            </w:rPr>
            <w:t>Table</w:t>
          </w:r>
          <w:proofErr w:type="spellEnd"/>
          <w:r w:rsidRPr="00D67106">
            <w:rPr>
              <w:rFonts w:ascii="Times New Roman" w:hAnsi="Times New Roman"/>
              <w:color w:val="003199"/>
              <w:sz w:val="40"/>
              <w:szCs w:val="40"/>
            </w:rPr>
            <w:t xml:space="preserve"> of </w:t>
          </w:r>
          <w:proofErr w:type="spellStart"/>
          <w:r w:rsidRPr="00D67106">
            <w:rPr>
              <w:rFonts w:ascii="Times New Roman" w:hAnsi="Times New Roman"/>
              <w:color w:val="003199"/>
              <w:sz w:val="40"/>
              <w:szCs w:val="40"/>
            </w:rPr>
            <w:t>Contents</w:t>
          </w:r>
          <w:proofErr w:type="spellEnd"/>
          <w:r w:rsidRPr="00D67106">
            <w:rPr>
              <w:rFonts w:ascii="Times New Roman" w:hAnsi="Times New Roman"/>
              <w:color w:val="003199"/>
              <w:sz w:val="40"/>
              <w:szCs w:val="40"/>
            </w:rPr>
            <w:t xml:space="preserve"> </w:t>
          </w:r>
        </w:p>
        <w:p w14:paraId="6B6BB8A7" w14:textId="7A9F9530" w:rsidR="00F53249" w:rsidRDefault="00591697">
          <w:pPr>
            <w:pStyle w:val="TOC1"/>
            <w:rPr>
              <w:rFonts w:asciiTheme="minorHAnsi" w:eastAsiaTheme="minorEastAsia" w:hAnsiTheme="minorHAnsi" w:cstheme="minorBidi"/>
              <w:noProof/>
              <w:kern w:val="2"/>
              <w:sz w:val="24"/>
              <w:szCs w:val="24"/>
              <w14:ligatures w14:val="standardContextual"/>
            </w:rPr>
          </w:pPr>
          <w:r w:rsidRPr="0005021B">
            <w:rPr>
              <w:rFonts w:ascii="Times New Roman" w:hAnsi="Times New Roman"/>
              <w:color w:val="002060"/>
              <w:sz w:val="24"/>
              <w:szCs w:val="24"/>
            </w:rPr>
            <w:fldChar w:fldCharType="begin"/>
          </w:r>
          <w:r w:rsidRPr="0005021B">
            <w:rPr>
              <w:rFonts w:ascii="Times New Roman" w:hAnsi="Times New Roman"/>
              <w:color w:val="002060"/>
              <w:sz w:val="24"/>
              <w:szCs w:val="24"/>
            </w:rPr>
            <w:instrText xml:space="preserve"> TOC \o "1-3" \h \z \u </w:instrText>
          </w:r>
          <w:r w:rsidRPr="0005021B">
            <w:rPr>
              <w:rFonts w:ascii="Times New Roman" w:hAnsi="Times New Roman"/>
              <w:color w:val="002060"/>
              <w:sz w:val="24"/>
              <w:szCs w:val="24"/>
            </w:rPr>
            <w:fldChar w:fldCharType="separate"/>
          </w:r>
          <w:hyperlink w:anchor="_Toc221126436" w:history="1">
            <w:r w:rsidR="00F53249" w:rsidRPr="000B0D8D">
              <w:rPr>
                <w:rStyle w:val="Hyperlink"/>
                <w:noProof/>
              </w:rPr>
              <w:t>1</w:t>
            </w:r>
            <w:r w:rsidR="00F53249">
              <w:rPr>
                <w:rFonts w:asciiTheme="minorHAnsi" w:eastAsiaTheme="minorEastAsia" w:hAnsiTheme="minorHAnsi" w:cstheme="minorBidi"/>
                <w:noProof/>
                <w:kern w:val="2"/>
                <w:sz w:val="24"/>
                <w:szCs w:val="24"/>
                <w14:ligatures w14:val="standardContextual"/>
              </w:rPr>
              <w:tab/>
            </w:r>
            <w:r w:rsidR="00F53249" w:rsidRPr="000B0D8D">
              <w:rPr>
                <w:rStyle w:val="Hyperlink"/>
                <w:noProof/>
              </w:rPr>
              <w:t>Purpose of the Manual</w:t>
            </w:r>
            <w:r w:rsidR="00F53249">
              <w:rPr>
                <w:noProof/>
                <w:webHidden/>
              </w:rPr>
              <w:tab/>
            </w:r>
            <w:r w:rsidR="00F53249">
              <w:rPr>
                <w:noProof/>
                <w:webHidden/>
              </w:rPr>
              <w:fldChar w:fldCharType="begin"/>
            </w:r>
            <w:r w:rsidR="00F53249">
              <w:rPr>
                <w:noProof/>
                <w:webHidden/>
              </w:rPr>
              <w:instrText xml:space="preserve"> PAGEREF _Toc221126436 \h </w:instrText>
            </w:r>
            <w:r w:rsidR="00F53249">
              <w:rPr>
                <w:noProof/>
                <w:webHidden/>
              </w:rPr>
            </w:r>
            <w:r w:rsidR="00F53249">
              <w:rPr>
                <w:noProof/>
                <w:webHidden/>
              </w:rPr>
              <w:fldChar w:fldCharType="separate"/>
            </w:r>
            <w:r w:rsidR="00F53249">
              <w:rPr>
                <w:noProof/>
                <w:webHidden/>
              </w:rPr>
              <w:t>2</w:t>
            </w:r>
            <w:r w:rsidR="00F53249">
              <w:rPr>
                <w:noProof/>
                <w:webHidden/>
              </w:rPr>
              <w:fldChar w:fldCharType="end"/>
            </w:r>
          </w:hyperlink>
        </w:p>
        <w:p w14:paraId="1E97C22D" w14:textId="33B7F335" w:rsidR="00F53249" w:rsidRDefault="00F53249">
          <w:pPr>
            <w:pStyle w:val="TOC1"/>
            <w:rPr>
              <w:rFonts w:asciiTheme="minorHAnsi" w:eastAsiaTheme="minorEastAsia" w:hAnsiTheme="minorHAnsi" w:cstheme="minorBidi"/>
              <w:noProof/>
              <w:kern w:val="2"/>
              <w:sz w:val="24"/>
              <w:szCs w:val="24"/>
              <w14:ligatures w14:val="standardContextual"/>
            </w:rPr>
          </w:pPr>
          <w:hyperlink w:anchor="_Toc221126437" w:history="1">
            <w:r w:rsidRPr="000B0D8D">
              <w:rPr>
                <w:rStyle w:val="Hyperlink"/>
                <w:noProof/>
              </w:rPr>
              <w:t>2</w:t>
            </w:r>
            <w:r>
              <w:rPr>
                <w:rFonts w:asciiTheme="minorHAnsi" w:eastAsiaTheme="minorEastAsia" w:hAnsiTheme="minorHAnsi" w:cstheme="minorBidi"/>
                <w:noProof/>
                <w:kern w:val="2"/>
                <w:sz w:val="24"/>
                <w:szCs w:val="24"/>
                <w14:ligatures w14:val="standardContextual"/>
              </w:rPr>
              <w:tab/>
            </w:r>
            <w:r w:rsidRPr="000B0D8D">
              <w:rPr>
                <w:rStyle w:val="Hyperlink"/>
                <w:noProof/>
              </w:rPr>
              <w:t>Scope of the collection of statistical information</w:t>
            </w:r>
            <w:r>
              <w:rPr>
                <w:noProof/>
                <w:webHidden/>
              </w:rPr>
              <w:tab/>
            </w:r>
            <w:r>
              <w:rPr>
                <w:noProof/>
                <w:webHidden/>
              </w:rPr>
              <w:fldChar w:fldCharType="begin"/>
            </w:r>
            <w:r>
              <w:rPr>
                <w:noProof/>
                <w:webHidden/>
              </w:rPr>
              <w:instrText xml:space="preserve"> PAGEREF _Toc221126437 \h </w:instrText>
            </w:r>
            <w:r>
              <w:rPr>
                <w:noProof/>
                <w:webHidden/>
              </w:rPr>
            </w:r>
            <w:r>
              <w:rPr>
                <w:noProof/>
                <w:webHidden/>
              </w:rPr>
              <w:fldChar w:fldCharType="separate"/>
            </w:r>
            <w:r>
              <w:rPr>
                <w:noProof/>
                <w:webHidden/>
              </w:rPr>
              <w:t>2</w:t>
            </w:r>
            <w:r>
              <w:rPr>
                <w:noProof/>
                <w:webHidden/>
              </w:rPr>
              <w:fldChar w:fldCharType="end"/>
            </w:r>
          </w:hyperlink>
        </w:p>
        <w:p w14:paraId="3F00F437" w14:textId="3B16FC9D" w:rsidR="00F53249" w:rsidRDefault="00F53249">
          <w:pPr>
            <w:pStyle w:val="TOC1"/>
            <w:rPr>
              <w:rFonts w:asciiTheme="minorHAnsi" w:eastAsiaTheme="minorEastAsia" w:hAnsiTheme="minorHAnsi" w:cstheme="minorBidi"/>
              <w:noProof/>
              <w:kern w:val="2"/>
              <w:sz w:val="24"/>
              <w:szCs w:val="24"/>
              <w14:ligatures w14:val="standardContextual"/>
            </w:rPr>
          </w:pPr>
          <w:hyperlink w:anchor="_Toc221126438" w:history="1">
            <w:r w:rsidRPr="000B0D8D">
              <w:rPr>
                <w:rStyle w:val="Hyperlink"/>
                <w:noProof/>
              </w:rPr>
              <w:t>3</w:t>
            </w:r>
            <w:r>
              <w:rPr>
                <w:rFonts w:asciiTheme="minorHAnsi" w:eastAsiaTheme="minorEastAsia" w:hAnsiTheme="minorHAnsi" w:cstheme="minorBidi"/>
                <w:noProof/>
                <w:kern w:val="2"/>
                <w:sz w:val="24"/>
                <w:szCs w:val="24"/>
                <w14:ligatures w14:val="standardContextual"/>
              </w:rPr>
              <w:tab/>
            </w:r>
            <w:r w:rsidRPr="000B0D8D">
              <w:rPr>
                <w:rStyle w:val="Hyperlink"/>
                <w:noProof/>
              </w:rPr>
              <w:t>General reporting requirements</w:t>
            </w:r>
            <w:r>
              <w:rPr>
                <w:noProof/>
                <w:webHidden/>
              </w:rPr>
              <w:tab/>
            </w:r>
            <w:r>
              <w:rPr>
                <w:noProof/>
                <w:webHidden/>
              </w:rPr>
              <w:fldChar w:fldCharType="begin"/>
            </w:r>
            <w:r>
              <w:rPr>
                <w:noProof/>
                <w:webHidden/>
              </w:rPr>
              <w:instrText xml:space="preserve"> PAGEREF _Toc221126438 \h </w:instrText>
            </w:r>
            <w:r>
              <w:rPr>
                <w:noProof/>
                <w:webHidden/>
              </w:rPr>
            </w:r>
            <w:r>
              <w:rPr>
                <w:noProof/>
                <w:webHidden/>
              </w:rPr>
              <w:fldChar w:fldCharType="separate"/>
            </w:r>
            <w:r>
              <w:rPr>
                <w:noProof/>
                <w:webHidden/>
              </w:rPr>
              <w:t>3</w:t>
            </w:r>
            <w:r>
              <w:rPr>
                <w:noProof/>
                <w:webHidden/>
              </w:rPr>
              <w:fldChar w:fldCharType="end"/>
            </w:r>
          </w:hyperlink>
        </w:p>
        <w:p w14:paraId="22A5C0D8" w14:textId="3B44E702"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39" w:history="1">
            <w:r w:rsidRPr="000B0D8D">
              <w:rPr>
                <w:rStyle w:val="Hyperlink"/>
                <w:rFonts w:ascii="Times New Roman" w:hAnsi="Times New Roman"/>
                <w:noProof/>
                <w:lang w:val="en-GB"/>
              </w:rPr>
              <w:t>a.</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lang w:val="en-GB"/>
              </w:rPr>
              <w:t>Implementation</w:t>
            </w:r>
            <w:r>
              <w:rPr>
                <w:noProof/>
                <w:webHidden/>
              </w:rPr>
              <w:tab/>
            </w:r>
            <w:r>
              <w:rPr>
                <w:noProof/>
                <w:webHidden/>
              </w:rPr>
              <w:fldChar w:fldCharType="begin"/>
            </w:r>
            <w:r>
              <w:rPr>
                <w:noProof/>
                <w:webHidden/>
              </w:rPr>
              <w:instrText xml:space="preserve"> PAGEREF _Toc221126439 \h </w:instrText>
            </w:r>
            <w:r>
              <w:rPr>
                <w:noProof/>
                <w:webHidden/>
              </w:rPr>
            </w:r>
            <w:r>
              <w:rPr>
                <w:noProof/>
                <w:webHidden/>
              </w:rPr>
              <w:fldChar w:fldCharType="separate"/>
            </w:r>
            <w:r>
              <w:rPr>
                <w:noProof/>
                <w:webHidden/>
              </w:rPr>
              <w:t>3</w:t>
            </w:r>
            <w:r>
              <w:rPr>
                <w:noProof/>
                <w:webHidden/>
              </w:rPr>
              <w:fldChar w:fldCharType="end"/>
            </w:r>
          </w:hyperlink>
        </w:p>
        <w:p w14:paraId="4BE3D04C" w14:textId="243FED31"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0" w:history="1">
            <w:r w:rsidRPr="000B0D8D">
              <w:rPr>
                <w:rStyle w:val="Hyperlink"/>
                <w:rFonts w:ascii="Times New Roman" w:hAnsi="Times New Roman"/>
                <w:noProof/>
                <w:lang w:val="en-GB"/>
              </w:rPr>
              <w:t>b.</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lang w:val="en-GB"/>
              </w:rPr>
              <w:t>Frequency and timeliness</w:t>
            </w:r>
            <w:r>
              <w:rPr>
                <w:noProof/>
                <w:webHidden/>
              </w:rPr>
              <w:tab/>
            </w:r>
            <w:r>
              <w:rPr>
                <w:noProof/>
                <w:webHidden/>
              </w:rPr>
              <w:fldChar w:fldCharType="begin"/>
            </w:r>
            <w:r>
              <w:rPr>
                <w:noProof/>
                <w:webHidden/>
              </w:rPr>
              <w:instrText xml:space="preserve"> PAGEREF _Toc221126440 \h </w:instrText>
            </w:r>
            <w:r>
              <w:rPr>
                <w:noProof/>
                <w:webHidden/>
              </w:rPr>
            </w:r>
            <w:r>
              <w:rPr>
                <w:noProof/>
                <w:webHidden/>
              </w:rPr>
              <w:fldChar w:fldCharType="separate"/>
            </w:r>
            <w:r>
              <w:rPr>
                <w:noProof/>
                <w:webHidden/>
              </w:rPr>
              <w:t>3</w:t>
            </w:r>
            <w:r>
              <w:rPr>
                <w:noProof/>
                <w:webHidden/>
              </w:rPr>
              <w:fldChar w:fldCharType="end"/>
            </w:r>
          </w:hyperlink>
        </w:p>
        <w:p w14:paraId="7DBAC56D" w14:textId="6B4A4E7D"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1" w:history="1">
            <w:r w:rsidRPr="000B0D8D">
              <w:rPr>
                <w:rStyle w:val="Hyperlink"/>
                <w:rFonts w:ascii="Times New Roman" w:hAnsi="Times New Roman"/>
                <w:noProof/>
                <w:lang w:val="en-GB"/>
              </w:rPr>
              <w:t>c.</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lang w:val="en-GB"/>
              </w:rPr>
              <w:t>Level of reporting and ECB data transmission</w:t>
            </w:r>
            <w:r>
              <w:rPr>
                <w:noProof/>
                <w:webHidden/>
              </w:rPr>
              <w:tab/>
            </w:r>
            <w:r>
              <w:rPr>
                <w:noProof/>
                <w:webHidden/>
              </w:rPr>
              <w:fldChar w:fldCharType="begin"/>
            </w:r>
            <w:r>
              <w:rPr>
                <w:noProof/>
                <w:webHidden/>
              </w:rPr>
              <w:instrText xml:space="preserve"> PAGEREF _Toc221126441 \h </w:instrText>
            </w:r>
            <w:r>
              <w:rPr>
                <w:noProof/>
                <w:webHidden/>
              </w:rPr>
            </w:r>
            <w:r>
              <w:rPr>
                <w:noProof/>
                <w:webHidden/>
              </w:rPr>
              <w:fldChar w:fldCharType="separate"/>
            </w:r>
            <w:r>
              <w:rPr>
                <w:noProof/>
                <w:webHidden/>
              </w:rPr>
              <w:t>3</w:t>
            </w:r>
            <w:r>
              <w:rPr>
                <w:noProof/>
                <w:webHidden/>
              </w:rPr>
              <w:fldChar w:fldCharType="end"/>
            </w:r>
          </w:hyperlink>
        </w:p>
        <w:p w14:paraId="0134F44B" w14:textId="76604585"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2" w:history="1">
            <w:r w:rsidRPr="000B0D8D">
              <w:rPr>
                <w:rStyle w:val="Hyperlink"/>
                <w:rFonts w:ascii="Times New Roman" w:hAnsi="Times New Roman"/>
                <w:noProof/>
                <w:lang w:val="en-GB"/>
              </w:rPr>
              <w:t>d.</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lang w:val="en-GB"/>
              </w:rPr>
              <w:t>Reporting requirements</w:t>
            </w:r>
            <w:r>
              <w:rPr>
                <w:noProof/>
                <w:webHidden/>
              </w:rPr>
              <w:tab/>
            </w:r>
            <w:r>
              <w:rPr>
                <w:noProof/>
                <w:webHidden/>
              </w:rPr>
              <w:fldChar w:fldCharType="begin"/>
            </w:r>
            <w:r>
              <w:rPr>
                <w:noProof/>
                <w:webHidden/>
              </w:rPr>
              <w:instrText xml:space="preserve"> PAGEREF _Toc221126442 \h </w:instrText>
            </w:r>
            <w:r>
              <w:rPr>
                <w:noProof/>
                <w:webHidden/>
              </w:rPr>
            </w:r>
            <w:r>
              <w:rPr>
                <w:noProof/>
                <w:webHidden/>
              </w:rPr>
              <w:fldChar w:fldCharType="separate"/>
            </w:r>
            <w:r>
              <w:rPr>
                <w:noProof/>
                <w:webHidden/>
              </w:rPr>
              <w:t>4</w:t>
            </w:r>
            <w:r>
              <w:rPr>
                <w:noProof/>
                <w:webHidden/>
              </w:rPr>
              <w:fldChar w:fldCharType="end"/>
            </w:r>
          </w:hyperlink>
        </w:p>
        <w:p w14:paraId="678C80F0" w14:textId="58B045F6"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3" w:history="1">
            <w:r w:rsidRPr="000B0D8D">
              <w:rPr>
                <w:rStyle w:val="Hyperlink"/>
                <w:rFonts w:ascii="Times New Roman" w:hAnsi="Times New Roman"/>
                <w:noProof/>
                <w:lang w:val="en-GB"/>
              </w:rPr>
              <w:t>e.</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lang w:val="en-GB"/>
              </w:rPr>
              <w:t>Derogations</w:t>
            </w:r>
            <w:r>
              <w:rPr>
                <w:noProof/>
                <w:webHidden/>
              </w:rPr>
              <w:tab/>
            </w:r>
            <w:r>
              <w:rPr>
                <w:noProof/>
                <w:webHidden/>
              </w:rPr>
              <w:fldChar w:fldCharType="begin"/>
            </w:r>
            <w:r>
              <w:rPr>
                <w:noProof/>
                <w:webHidden/>
              </w:rPr>
              <w:instrText xml:space="preserve"> PAGEREF _Toc221126443 \h </w:instrText>
            </w:r>
            <w:r>
              <w:rPr>
                <w:noProof/>
                <w:webHidden/>
              </w:rPr>
            </w:r>
            <w:r>
              <w:rPr>
                <w:noProof/>
                <w:webHidden/>
              </w:rPr>
              <w:fldChar w:fldCharType="separate"/>
            </w:r>
            <w:r>
              <w:rPr>
                <w:noProof/>
                <w:webHidden/>
              </w:rPr>
              <w:t>7</w:t>
            </w:r>
            <w:r>
              <w:rPr>
                <w:noProof/>
                <w:webHidden/>
              </w:rPr>
              <w:fldChar w:fldCharType="end"/>
            </w:r>
          </w:hyperlink>
        </w:p>
        <w:p w14:paraId="143B7106" w14:textId="2048EC89" w:rsidR="00F53249" w:rsidRDefault="00F53249">
          <w:pPr>
            <w:pStyle w:val="TOC1"/>
            <w:rPr>
              <w:rFonts w:asciiTheme="minorHAnsi" w:eastAsiaTheme="minorEastAsia" w:hAnsiTheme="minorHAnsi" w:cstheme="minorBidi"/>
              <w:noProof/>
              <w:kern w:val="2"/>
              <w:sz w:val="24"/>
              <w:szCs w:val="24"/>
              <w14:ligatures w14:val="standardContextual"/>
            </w:rPr>
          </w:pPr>
          <w:hyperlink w:anchor="_Toc221126444" w:history="1">
            <w:r w:rsidRPr="000B0D8D">
              <w:rPr>
                <w:rStyle w:val="Hyperlink"/>
                <w:noProof/>
              </w:rPr>
              <w:t>4</w:t>
            </w:r>
            <w:r>
              <w:rPr>
                <w:rFonts w:asciiTheme="minorHAnsi" w:eastAsiaTheme="minorEastAsia" w:hAnsiTheme="minorHAnsi" w:cstheme="minorBidi"/>
                <w:noProof/>
                <w:kern w:val="2"/>
                <w:sz w:val="24"/>
                <w:szCs w:val="24"/>
                <w14:ligatures w14:val="standardContextual"/>
              </w:rPr>
              <w:tab/>
            </w:r>
            <w:r w:rsidRPr="000B0D8D">
              <w:rPr>
                <w:rStyle w:val="Hyperlink"/>
                <w:noProof/>
              </w:rPr>
              <w:t>Technical information</w:t>
            </w:r>
            <w:r>
              <w:rPr>
                <w:noProof/>
                <w:webHidden/>
              </w:rPr>
              <w:tab/>
            </w:r>
            <w:r>
              <w:rPr>
                <w:noProof/>
                <w:webHidden/>
              </w:rPr>
              <w:fldChar w:fldCharType="begin"/>
            </w:r>
            <w:r>
              <w:rPr>
                <w:noProof/>
                <w:webHidden/>
              </w:rPr>
              <w:instrText xml:space="preserve"> PAGEREF _Toc221126444 \h </w:instrText>
            </w:r>
            <w:r>
              <w:rPr>
                <w:noProof/>
                <w:webHidden/>
              </w:rPr>
            </w:r>
            <w:r>
              <w:rPr>
                <w:noProof/>
                <w:webHidden/>
              </w:rPr>
              <w:fldChar w:fldCharType="separate"/>
            </w:r>
            <w:r>
              <w:rPr>
                <w:noProof/>
                <w:webHidden/>
              </w:rPr>
              <w:t>7</w:t>
            </w:r>
            <w:r>
              <w:rPr>
                <w:noProof/>
                <w:webHidden/>
              </w:rPr>
              <w:fldChar w:fldCharType="end"/>
            </w:r>
          </w:hyperlink>
        </w:p>
        <w:p w14:paraId="476BBF75" w14:textId="2CB20C28"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5" w:history="1">
            <w:r w:rsidRPr="000B0D8D">
              <w:rPr>
                <w:rStyle w:val="Hyperlink"/>
                <w:rFonts w:ascii="Times New Roman" w:hAnsi="Times New Roman"/>
                <w:noProof/>
                <w:lang w:val="en-GB"/>
              </w:rPr>
              <w:t>a.</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lang w:val="en-GB"/>
              </w:rPr>
              <w:t>Reporting Currency</w:t>
            </w:r>
            <w:r>
              <w:rPr>
                <w:noProof/>
                <w:webHidden/>
              </w:rPr>
              <w:tab/>
            </w:r>
            <w:r>
              <w:rPr>
                <w:noProof/>
                <w:webHidden/>
              </w:rPr>
              <w:fldChar w:fldCharType="begin"/>
            </w:r>
            <w:r>
              <w:rPr>
                <w:noProof/>
                <w:webHidden/>
              </w:rPr>
              <w:instrText xml:space="preserve"> PAGEREF _Toc221126445 \h </w:instrText>
            </w:r>
            <w:r>
              <w:rPr>
                <w:noProof/>
                <w:webHidden/>
              </w:rPr>
            </w:r>
            <w:r>
              <w:rPr>
                <w:noProof/>
                <w:webHidden/>
              </w:rPr>
              <w:fldChar w:fldCharType="separate"/>
            </w:r>
            <w:r>
              <w:rPr>
                <w:noProof/>
                <w:webHidden/>
              </w:rPr>
              <w:t>7</w:t>
            </w:r>
            <w:r>
              <w:rPr>
                <w:noProof/>
                <w:webHidden/>
              </w:rPr>
              <w:fldChar w:fldCharType="end"/>
            </w:r>
          </w:hyperlink>
        </w:p>
        <w:p w14:paraId="0B9CC1E6" w14:textId="3B65F54A"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6" w:history="1">
            <w:r w:rsidRPr="000B0D8D">
              <w:rPr>
                <w:rStyle w:val="Hyperlink"/>
                <w:rFonts w:ascii="Times New Roman" w:hAnsi="Times New Roman"/>
                <w:noProof/>
                <w:lang w:val="en-GB"/>
              </w:rPr>
              <w:t>b.</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lang w:val="en-GB"/>
              </w:rPr>
              <w:t>Exchange rates</w:t>
            </w:r>
            <w:r>
              <w:rPr>
                <w:noProof/>
                <w:webHidden/>
              </w:rPr>
              <w:tab/>
            </w:r>
            <w:r>
              <w:rPr>
                <w:noProof/>
                <w:webHidden/>
              </w:rPr>
              <w:fldChar w:fldCharType="begin"/>
            </w:r>
            <w:r>
              <w:rPr>
                <w:noProof/>
                <w:webHidden/>
              </w:rPr>
              <w:instrText xml:space="preserve"> PAGEREF _Toc221126446 \h </w:instrText>
            </w:r>
            <w:r>
              <w:rPr>
                <w:noProof/>
                <w:webHidden/>
              </w:rPr>
            </w:r>
            <w:r>
              <w:rPr>
                <w:noProof/>
                <w:webHidden/>
              </w:rPr>
              <w:fldChar w:fldCharType="separate"/>
            </w:r>
            <w:r>
              <w:rPr>
                <w:noProof/>
                <w:webHidden/>
              </w:rPr>
              <w:t>7</w:t>
            </w:r>
            <w:r>
              <w:rPr>
                <w:noProof/>
                <w:webHidden/>
              </w:rPr>
              <w:fldChar w:fldCharType="end"/>
            </w:r>
          </w:hyperlink>
        </w:p>
        <w:p w14:paraId="17C75898" w14:textId="31EAF497"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7" w:history="1">
            <w:r w:rsidRPr="000B0D8D">
              <w:rPr>
                <w:rStyle w:val="Hyperlink"/>
                <w:rFonts w:ascii="Times New Roman" w:hAnsi="Times New Roman"/>
                <w:noProof/>
                <w:lang w:val="en-GB"/>
              </w:rPr>
              <w:t>c.</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rPr>
              <w:t>Units of measurement</w:t>
            </w:r>
            <w:r>
              <w:rPr>
                <w:noProof/>
                <w:webHidden/>
              </w:rPr>
              <w:tab/>
            </w:r>
            <w:r>
              <w:rPr>
                <w:noProof/>
                <w:webHidden/>
              </w:rPr>
              <w:fldChar w:fldCharType="begin"/>
            </w:r>
            <w:r>
              <w:rPr>
                <w:noProof/>
                <w:webHidden/>
              </w:rPr>
              <w:instrText xml:space="preserve"> PAGEREF _Toc221126447 \h </w:instrText>
            </w:r>
            <w:r>
              <w:rPr>
                <w:noProof/>
                <w:webHidden/>
              </w:rPr>
            </w:r>
            <w:r>
              <w:rPr>
                <w:noProof/>
                <w:webHidden/>
              </w:rPr>
              <w:fldChar w:fldCharType="separate"/>
            </w:r>
            <w:r>
              <w:rPr>
                <w:noProof/>
                <w:webHidden/>
              </w:rPr>
              <w:t>7</w:t>
            </w:r>
            <w:r>
              <w:rPr>
                <w:noProof/>
                <w:webHidden/>
              </w:rPr>
              <w:fldChar w:fldCharType="end"/>
            </w:r>
          </w:hyperlink>
        </w:p>
        <w:p w14:paraId="559E6FFF" w14:textId="6DD2EF32"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8" w:history="1">
            <w:r w:rsidRPr="000B0D8D">
              <w:rPr>
                <w:rStyle w:val="Hyperlink"/>
                <w:rFonts w:ascii="Times New Roman" w:hAnsi="Times New Roman"/>
                <w:noProof/>
              </w:rPr>
              <w:t>d.</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rPr>
              <w:t>Data transmission</w:t>
            </w:r>
            <w:r>
              <w:rPr>
                <w:noProof/>
                <w:webHidden/>
              </w:rPr>
              <w:tab/>
            </w:r>
            <w:r>
              <w:rPr>
                <w:noProof/>
                <w:webHidden/>
              </w:rPr>
              <w:fldChar w:fldCharType="begin"/>
            </w:r>
            <w:r>
              <w:rPr>
                <w:noProof/>
                <w:webHidden/>
              </w:rPr>
              <w:instrText xml:space="preserve"> PAGEREF _Toc221126448 \h </w:instrText>
            </w:r>
            <w:r>
              <w:rPr>
                <w:noProof/>
                <w:webHidden/>
              </w:rPr>
            </w:r>
            <w:r>
              <w:rPr>
                <w:noProof/>
                <w:webHidden/>
              </w:rPr>
              <w:fldChar w:fldCharType="separate"/>
            </w:r>
            <w:r>
              <w:rPr>
                <w:noProof/>
                <w:webHidden/>
              </w:rPr>
              <w:t>8</w:t>
            </w:r>
            <w:r>
              <w:rPr>
                <w:noProof/>
                <w:webHidden/>
              </w:rPr>
              <w:fldChar w:fldCharType="end"/>
            </w:r>
          </w:hyperlink>
        </w:p>
        <w:p w14:paraId="3A3B6CFE" w14:textId="4262941F"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49" w:history="1">
            <w:r w:rsidRPr="000B0D8D">
              <w:rPr>
                <w:rStyle w:val="Hyperlink"/>
                <w:rFonts w:ascii="Times New Roman" w:hAnsi="Times New Roman"/>
                <w:noProof/>
              </w:rPr>
              <w:t>e.</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noProof/>
              </w:rPr>
              <w:t xml:space="preserve">Data </w:t>
            </w:r>
            <w:r w:rsidRPr="000B0D8D">
              <w:rPr>
                <w:rStyle w:val="Hyperlink"/>
                <w:rFonts w:ascii="Times New Roman" w:hAnsi="Times New Roman"/>
                <w:noProof/>
                <w:lang w:val="en-GB"/>
              </w:rPr>
              <w:t>validation_formulas</w:t>
            </w:r>
            <w:r>
              <w:rPr>
                <w:noProof/>
                <w:webHidden/>
              </w:rPr>
              <w:tab/>
            </w:r>
            <w:r>
              <w:rPr>
                <w:noProof/>
                <w:webHidden/>
              </w:rPr>
              <w:fldChar w:fldCharType="begin"/>
            </w:r>
            <w:r>
              <w:rPr>
                <w:noProof/>
                <w:webHidden/>
              </w:rPr>
              <w:instrText xml:space="preserve"> PAGEREF _Toc221126449 \h </w:instrText>
            </w:r>
            <w:r>
              <w:rPr>
                <w:noProof/>
                <w:webHidden/>
              </w:rPr>
            </w:r>
            <w:r>
              <w:rPr>
                <w:noProof/>
                <w:webHidden/>
              </w:rPr>
              <w:fldChar w:fldCharType="separate"/>
            </w:r>
            <w:r>
              <w:rPr>
                <w:noProof/>
                <w:webHidden/>
              </w:rPr>
              <w:t>8</w:t>
            </w:r>
            <w:r>
              <w:rPr>
                <w:noProof/>
                <w:webHidden/>
              </w:rPr>
              <w:fldChar w:fldCharType="end"/>
            </w:r>
          </w:hyperlink>
        </w:p>
        <w:p w14:paraId="14D12092" w14:textId="59358D8B" w:rsidR="00F53249" w:rsidRDefault="00F53249">
          <w:pPr>
            <w:pStyle w:val="TOC1"/>
            <w:rPr>
              <w:rFonts w:asciiTheme="minorHAnsi" w:eastAsiaTheme="minorEastAsia" w:hAnsiTheme="minorHAnsi" w:cstheme="minorBidi"/>
              <w:noProof/>
              <w:kern w:val="2"/>
              <w:sz w:val="24"/>
              <w:szCs w:val="24"/>
              <w14:ligatures w14:val="standardContextual"/>
            </w:rPr>
          </w:pPr>
          <w:hyperlink w:anchor="_Toc221126450" w:history="1">
            <w:r w:rsidRPr="000B0D8D">
              <w:rPr>
                <w:rStyle w:val="Hyperlink"/>
                <w:noProof/>
              </w:rPr>
              <w:t>5</w:t>
            </w:r>
            <w:r>
              <w:rPr>
                <w:rFonts w:asciiTheme="minorHAnsi" w:eastAsiaTheme="minorEastAsia" w:hAnsiTheme="minorHAnsi" w:cstheme="minorBidi"/>
                <w:noProof/>
                <w:kern w:val="2"/>
                <w:sz w:val="24"/>
                <w:szCs w:val="24"/>
                <w14:ligatures w14:val="standardContextual"/>
              </w:rPr>
              <w:tab/>
            </w:r>
            <w:r w:rsidRPr="000B0D8D">
              <w:rPr>
                <w:rStyle w:val="Hyperlink"/>
                <w:noProof/>
              </w:rPr>
              <w:t>Guidance and detailed description of the attributes included in the reporting</w:t>
            </w:r>
            <w:r>
              <w:rPr>
                <w:noProof/>
                <w:webHidden/>
              </w:rPr>
              <w:tab/>
            </w:r>
            <w:r>
              <w:rPr>
                <w:noProof/>
                <w:webHidden/>
              </w:rPr>
              <w:fldChar w:fldCharType="begin"/>
            </w:r>
            <w:r>
              <w:rPr>
                <w:noProof/>
                <w:webHidden/>
              </w:rPr>
              <w:instrText xml:space="preserve"> PAGEREF _Toc221126450 \h </w:instrText>
            </w:r>
            <w:r>
              <w:rPr>
                <w:noProof/>
                <w:webHidden/>
              </w:rPr>
            </w:r>
            <w:r>
              <w:rPr>
                <w:noProof/>
                <w:webHidden/>
              </w:rPr>
              <w:fldChar w:fldCharType="separate"/>
            </w:r>
            <w:r>
              <w:rPr>
                <w:noProof/>
                <w:webHidden/>
              </w:rPr>
              <w:t>8</w:t>
            </w:r>
            <w:r>
              <w:rPr>
                <w:noProof/>
                <w:webHidden/>
              </w:rPr>
              <w:fldChar w:fldCharType="end"/>
            </w:r>
          </w:hyperlink>
        </w:p>
        <w:p w14:paraId="35DB41C7" w14:textId="3DD5B9D6"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51" w:history="1">
            <w:r w:rsidRPr="000B0D8D">
              <w:rPr>
                <w:rStyle w:val="Hyperlink"/>
                <w:rFonts w:ascii="Times New Roman" w:hAnsi="Times New Roman"/>
                <w:noProof/>
                <w:lang w:val="en-GB"/>
              </w:rPr>
              <w:t>Semi-annual reporting</w:t>
            </w:r>
            <w:r>
              <w:rPr>
                <w:noProof/>
                <w:webHidden/>
              </w:rPr>
              <w:tab/>
            </w:r>
            <w:r>
              <w:rPr>
                <w:noProof/>
                <w:webHidden/>
              </w:rPr>
              <w:fldChar w:fldCharType="begin"/>
            </w:r>
            <w:r>
              <w:rPr>
                <w:noProof/>
                <w:webHidden/>
              </w:rPr>
              <w:instrText xml:space="preserve"> PAGEREF _Toc221126451 \h </w:instrText>
            </w:r>
            <w:r>
              <w:rPr>
                <w:noProof/>
                <w:webHidden/>
              </w:rPr>
            </w:r>
            <w:r>
              <w:rPr>
                <w:noProof/>
                <w:webHidden/>
              </w:rPr>
              <w:fldChar w:fldCharType="separate"/>
            </w:r>
            <w:r>
              <w:rPr>
                <w:noProof/>
                <w:webHidden/>
              </w:rPr>
              <w:t>9</w:t>
            </w:r>
            <w:r>
              <w:rPr>
                <w:noProof/>
                <w:webHidden/>
              </w:rPr>
              <w:fldChar w:fldCharType="end"/>
            </w:r>
          </w:hyperlink>
        </w:p>
        <w:p w14:paraId="377746BC" w14:textId="026389AF" w:rsidR="00F53249" w:rsidRDefault="00F53249">
          <w:pPr>
            <w:pStyle w:val="TOC3"/>
            <w:tabs>
              <w:tab w:val="left" w:pos="960"/>
              <w:tab w:val="right" w:leader="dot" w:pos="9737"/>
            </w:tabs>
            <w:rPr>
              <w:rFonts w:asciiTheme="minorHAnsi" w:eastAsiaTheme="minorEastAsia" w:hAnsiTheme="minorHAnsi" w:cstheme="minorBidi"/>
              <w:noProof/>
              <w:kern w:val="2"/>
              <w:sz w:val="24"/>
              <w:szCs w:val="24"/>
              <w14:ligatures w14:val="standardContextual"/>
            </w:rPr>
          </w:pPr>
          <w:hyperlink w:anchor="_Toc221126452" w:history="1">
            <w:r w:rsidRPr="000B0D8D">
              <w:rPr>
                <w:rStyle w:val="Hyperlink"/>
                <w:rFonts w:ascii="Wingdings" w:hAnsi="Wingdings"/>
                <w:noProof/>
                <w:lang w:val="en-GB"/>
              </w:rPr>
              <w:t></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b/>
                <w:noProof/>
                <w:lang w:val="en-GB"/>
              </w:rPr>
              <w:t>PAYSTS2_MASTER_TEMPLATE_SEMI-ANNUAL</w:t>
            </w:r>
            <w:r>
              <w:rPr>
                <w:noProof/>
                <w:webHidden/>
              </w:rPr>
              <w:tab/>
            </w:r>
            <w:r>
              <w:rPr>
                <w:noProof/>
                <w:webHidden/>
              </w:rPr>
              <w:fldChar w:fldCharType="begin"/>
            </w:r>
            <w:r>
              <w:rPr>
                <w:noProof/>
                <w:webHidden/>
              </w:rPr>
              <w:instrText xml:space="preserve"> PAGEREF _Toc221126452 \h </w:instrText>
            </w:r>
            <w:r>
              <w:rPr>
                <w:noProof/>
                <w:webHidden/>
              </w:rPr>
            </w:r>
            <w:r>
              <w:rPr>
                <w:noProof/>
                <w:webHidden/>
              </w:rPr>
              <w:fldChar w:fldCharType="separate"/>
            </w:r>
            <w:r>
              <w:rPr>
                <w:noProof/>
                <w:webHidden/>
              </w:rPr>
              <w:t>9</w:t>
            </w:r>
            <w:r>
              <w:rPr>
                <w:noProof/>
                <w:webHidden/>
              </w:rPr>
              <w:fldChar w:fldCharType="end"/>
            </w:r>
          </w:hyperlink>
        </w:p>
        <w:p w14:paraId="75E17329" w14:textId="53E2E06E" w:rsidR="00F53249" w:rsidRDefault="00F53249">
          <w:pPr>
            <w:pStyle w:val="TOC3"/>
            <w:tabs>
              <w:tab w:val="left" w:pos="960"/>
              <w:tab w:val="right" w:leader="dot" w:pos="9737"/>
            </w:tabs>
            <w:rPr>
              <w:rFonts w:asciiTheme="minorHAnsi" w:eastAsiaTheme="minorEastAsia" w:hAnsiTheme="minorHAnsi" w:cstheme="minorBidi"/>
              <w:noProof/>
              <w:kern w:val="2"/>
              <w:sz w:val="24"/>
              <w:szCs w:val="24"/>
              <w14:ligatures w14:val="standardContextual"/>
            </w:rPr>
          </w:pPr>
          <w:hyperlink w:anchor="_Toc221126453" w:history="1">
            <w:r w:rsidRPr="000B0D8D">
              <w:rPr>
                <w:rStyle w:val="Hyperlink"/>
                <w:rFonts w:ascii="Wingdings" w:hAnsi="Wingdings"/>
                <w:noProof/>
                <w:lang w:val="en-GB"/>
              </w:rPr>
              <w:t></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b/>
                <w:noProof/>
                <w:lang w:val="en-GB"/>
              </w:rPr>
              <w:t>PAYSTS2_MASTER_TEMPLATE_FRAUDULENT_SEMI-ANNUAL</w:t>
            </w:r>
            <w:r>
              <w:rPr>
                <w:noProof/>
                <w:webHidden/>
              </w:rPr>
              <w:tab/>
            </w:r>
            <w:r>
              <w:rPr>
                <w:noProof/>
                <w:webHidden/>
              </w:rPr>
              <w:fldChar w:fldCharType="begin"/>
            </w:r>
            <w:r>
              <w:rPr>
                <w:noProof/>
                <w:webHidden/>
              </w:rPr>
              <w:instrText xml:space="preserve"> PAGEREF _Toc221126453 \h </w:instrText>
            </w:r>
            <w:r>
              <w:rPr>
                <w:noProof/>
                <w:webHidden/>
              </w:rPr>
            </w:r>
            <w:r>
              <w:rPr>
                <w:noProof/>
                <w:webHidden/>
              </w:rPr>
              <w:fldChar w:fldCharType="separate"/>
            </w:r>
            <w:r>
              <w:rPr>
                <w:noProof/>
                <w:webHidden/>
              </w:rPr>
              <w:t>37</w:t>
            </w:r>
            <w:r>
              <w:rPr>
                <w:noProof/>
                <w:webHidden/>
              </w:rPr>
              <w:fldChar w:fldCharType="end"/>
            </w:r>
          </w:hyperlink>
        </w:p>
        <w:p w14:paraId="650BD611" w14:textId="4BDF2C0D" w:rsidR="00F53249" w:rsidRDefault="00F53249">
          <w:pPr>
            <w:pStyle w:val="TOC2"/>
            <w:rPr>
              <w:rFonts w:asciiTheme="minorHAnsi" w:eastAsiaTheme="minorEastAsia" w:hAnsiTheme="minorHAnsi" w:cstheme="minorBidi"/>
              <w:noProof/>
              <w:kern w:val="2"/>
              <w:sz w:val="24"/>
              <w:szCs w:val="24"/>
              <w14:ligatures w14:val="standardContextual"/>
            </w:rPr>
          </w:pPr>
          <w:hyperlink w:anchor="_Toc221126454" w:history="1">
            <w:r w:rsidRPr="000B0D8D">
              <w:rPr>
                <w:rStyle w:val="Hyperlink"/>
                <w:rFonts w:ascii="Times New Roman" w:hAnsi="Times New Roman"/>
                <w:noProof/>
                <w:lang w:val="en-GB"/>
              </w:rPr>
              <w:t>Quarterly reporting</w:t>
            </w:r>
            <w:r>
              <w:rPr>
                <w:noProof/>
                <w:webHidden/>
              </w:rPr>
              <w:tab/>
            </w:r>
            <w:r>
              <w:rPr>
                <w:noProof/>
                <w:webHidden/>
              </w:rPr>
              <w:fldChar w:fldCharType="begin"/>
            </w:r>
            <w:r>
              <w:rPr>
                <w:noProof/>
                <w:webHidden/>
              </w:rPr>
              <w:instrText xml:space="preserve"> PAGEREF _Toc221126454 \h </w:instrText>
            </w:r>
            <w:r>
              <w:rPr>
                <w:noProof/>
                <w:webHidden/>
              </w:rPr>
            </w:r>
            <w:r>
              <w:rPr>
                <w:noProof/>
                <w:webHidden/>
              </w:rPr>
              <w:fldChar w:fldCharType="separate"/>
            </w:r>
            <w:r>
              <w:rPr>
                <w:noProof/>
                <w:webHidden/>
              </w:rPr>
              <w:t>39</w:t>
            </w:r>
            <w:r>
              <w:rPr>
                <w:noProof/>
                <w:webHidden/>
              </w:rPr>
              <w:fldChar w:fldCharType="end"/>
            </w:r>
          </w:hyperlink>
        </w:p>
        <w:p w14:paraId="122032DB" w14:textId="4A01BF2F" w:rsidR="00F53249" w:rsidRDefault="00F53249">
          <w:pPr>
            <w:pStyle w:val="TOC3"/>
            <w:tabs>
              <w:tab w:val="left" w:pos="960"/>
              <w:tab w:val="right" w:leader="dot" w:pos="9737"/>
            </w:tabs>
            <w:rPr>
              <w:rFonts w:asciiTheme="minorHAnsi" w:eastAsiaTheme="minorEastAsia" w:hAnsiTheme="minorHAnsi" w:cstheme="minorBidi"/>
              <w:noProof/>
              <w:kern w:val="2"/>
              <w:sz w:val="24"/>
              <w:szCs w:val="24"/>
              <w14:ligatures w14:val="standardContextual"/>
            </w:rPr>
          </w:pPr>
          <w:hyperlink w:anchor="_Toc221126455" w:history="1">
            <w:r w:rsidRPr="000B0D8D">
              <w:rPr>
                <w:rStyle w:val="Hyperlink"/>
                <w:rFonts w:ascii="Wingdings" w:hAnsi="Wingdings"/>
                <w:noProof/>
                <w:lang w:val="en-GB"/>
              </w:rPr>
              <w:t></w:t>
            </w:r>
            <w:r>
              <w:rPr>
                <w:rFonts w:asciiTheme="minorHAnsi" w:eastAsiaTheme="minorEastAsia" w:hAnsiTheme="minorHAnsi" w:cstheme="minorBidi"/>
                <w:noProof/>
                <w:kern w:val="2"/>
                <w:sz w:val="24"/>
                <w:szCs w:val="24"/>
                <w14:ligatures w14:val="standardContextual"/>
              </w:rPr>
              <w:tab/>
            </w:r>
            <w:r w:rsidRPr="000B0D8D">
              <w:rPr>
                <w:rStyle w:val="Hyperlink"/>
                <w:rFonts w:ascii="Times New Roman" w:hAnsi="Times New Roman"/>
                <w:b/>
                <w:noProof/>
                <w:lang w:val="en-GB"/>
              </w:rPr>
              <w:t>PAYSTS2_MASTER_TEMPLATE_QUARTER</w:t>
            </w:r>
            <w:r>
              <w:rPr>
                <w:noProof/>
                <w:webHidden/>
              </w:rPr>
              <w:tab/>
            </w:r>
            <w:r>
              <w:rPr>
                <w:noProof/>
                <w:webHidden/>
              </w:rPr>
              <w:fldChar w:fldCharType="begin"/>
            </w:r>
            <w:r>
              <w:rPr>
                <w:noProof/>
                <w:webHidden/>
              </w:rPr>
              <w:instrText xml:space="preserve"> PAGEREF _Toc221126455 \h </w:instrText>
            </w:r>
            <w:r>
              <w:rPr>
                <w:noProof/>
                <w:webHidden/>
              </w:rPr>
            </w:r>
            <w:r>
              <w:rPr>
                <w:noProof/>
                <w:webHidden/>
              </w:rPr>
              <w:fldChar w:fldCharType="separate"/>
            </w:r>
            <w:r>
              <w:rPr>
                <w:noProof/>
                <w:webHidden/>
              </w:rPr>
              <w:t>39</w:t>
            </w:r>
            <w:r>
              <w:rPr>
                <w:noProof/>
                <w:webHidden/>
              </w:rPr>
              <w:fldChar w:fldCharType="end"/>
            </w:r>
          </w:hyperlink>
        </w:p>
        <w:p w14:paraId="784BA584" w14:textId="4D38FB72" w:rsidR="00F53249" w:rsidRDefault="00F53249">
          <w:pPr>
            <w:pStyle w:val="TOC1"/>
            <w:rPr>
              <w:rFonts w:asciiTheme="minorHAnsi" w:eastAsiaTheme="minorEastAsia" w:hAnsiTheme="minorHAnsi" w:cstheme="minorBidi"/>
              <w:noProof/>
              <w:kern w:val="2"/>
              <w:sz w:val="24"/>
              <w:szCs w:val="24"/>
              <w14:ligatures w14:val="standardContextual"/>
            </w:rPr>
          </w:pPr>
          <w:hyperlink w:anchor="_Toc221126456" w:history="1">
            <w:r w:rsidRPr="000B0D8D">
              <w:rPr>
                <w:rStyle w:val="Hyperlink"/>
                <w:noProof/>
              </w:rPr>
              <w:t>6</w:t>
            </w:r>
            <w:r>
              <w:rPr>
                <w:rFonts w:asciiTheme="minorHAnsi" w:eastAsiaTheme="minorEastAsia" w:hAnsiTheme="minorHAnsi" w:cstheme="minorBidi"/>
                <w:noProof/>
                <w:kern w:val="2"/>
                <w:sz w:val="24"/>
                <w:szCs w:val="24"/>
                <w14:ligatures w14:val="standardContextual"/>
              </w:rPr>
              <w:tab/>
            </w:r>
            <w:r w:rsidRPr="000B0D8D">
              <w:rPr>
                <w:rStyle w:val="Hyperlink"/>
                <w:noProof/>
              </w:rPr>
              <w:t>Validation checks</w:t>
            </w:r>
            <w:r>
              <w:rPr>
                <w:noProof/>
                <w:webHidden/>
              </w:rPr>
              <w:tab/>
            </w:r>
            <w:r>
              <w:rPr>
                <w:noProof/>
                <w:webHidden/>
              </w:rPr>
              <w:fldChar w:fldCharType="begin"/>
            </w:r>
            <w:r>
              <w:rPr>
                <w:noProof/>
                <w:webHidden/>
              </w:rPr>
              <w:instrText xml:space="preserve"> PAGEREF _Toc221126456 \h </w:instrText>
            </w:r>
            <w:r>
              <w:rPr>
                <w:noProof/>
                <w:webHidden/>
              </w:rPr>
            </w:r>
            <w:r>
              <w:rPr>
                <w:noProof/>
                <w:webHidden/>
              </w:rPr>
              <w:fldChar w:fldCharType="separate"/>
            </w:r>
            <w:r>
              <w:rPr>
                <w:noProof/>
                <w:webHidden/>
              </w:rPr>
              <w:t>40</w:t>
            </w:r>
            <w:r>
              <w:rPr>
                <w:noProof/>
                <w:webHidden/>
              </w:rPr>
              <w:fldChar w:fldCharType="end"/>
            </w:r>
          </w:hyperlink>
        </w:p>
        <w:p w14:paraId="0919AE5F" w14:textId="5D939FC2" w:rsidR="00F53249" w:rsidRDefault="00F53249">
          <w:pPr>
            <w:pStyle w:val="TOC1"/>
            <w:rPr>
              <w:rFonts w:asciiTheme="minorHAnsi" w:eastAsiaTheme="minorEastAsia" w:hAnsiTheme="minorHAnsi" w:cstheme="minorBidi"/>
              <w:noProof/>
              <w:kern w:val="2"/>
              <w:sz w:val="24"/>
              <w:szCs w:val="24"/>
              <w14:ligatures w14:val="standardContextual"/>
            </w:rPr>
          </w:pPr>
          <w:hyperlink w:anchor="_Toc221126457" w:history="1">
            <w:r w:rsidRPr="000B0D8D">
              <w:rPr>
                <w:rStyle w:val="Hyperlink"/>
                <w:noProof/>
              </w:rPr>
              <w:t>7</w:t>
            </w:r>
            <w:r>
              <w:rPr>
                <w:rFonts w:asciiTheme="minorHAnsi" w:eastAsiaTheme="minorEastAsia" w:hAnsiTheme="minorHAnsi" w:cstheme="minorBidi"/>
                <w:noProof/>
                <w:kern w:val="2"/>
                <w:sz w:val="24"/>
                <w:szCs w:val="24"/>
                <w14:ligatures w14:val="standardContextual"/>
              </w:rPr>
              <w:tab/>
            </w:r>
            <w:r w:rsidRPr="000B0D8D">
              <w:rPr>
                <w:rStyle w:val="Hyperlink"/>
                <w:noProof/>
              </w:rPr>
              <w:t>Revision policy</w:t>
            </w:r>
            <w:r>
              <w:rPr>
                <w:noProof/>
                <w:webHidden/>
              </w:rPr>
              <w:tab/>
            </w:r>
            <w:r>
              <w:rPr>
                <w:noProof/>
                <w:webHidden/>
              </w:rPr>
              <w:fldChar w:fldCharType="begin"/>
            </w:r>
            <w:r>
              <w:rPr>
                <w:noProof/>
                <w:webHidden/>
              </w:rPr>
              <w:instrText xml:space="preserve"> PAGEREF _Toc221126457 \h </w:instrText>
            </w:r>
            <w:r>
              <w:rPr>
                <w:noProof/>
                <w:webHidden/>
              </w:rPr>
            </w:r>
            <w:r>
              <w:rPr>
                <w:noProof/>
                <w:webHidden/>
              </w:rPr>
              <w:fldChar w:fldCharType="separate"/>
            </w:r>
            <w:r>
              <w:rPr>
                <w:noProof/>
                <w:webHidden/>
              </w:rPr>
              <w:t>43</w:t>
            </w:r>
            <w:r>
              <w:rPr>
                <w:noProof/>
                <w:webHidden/>
              </w:rPr>
              <w:fldChar w:fldCharType="end"/>
            </w:r>
          </w:hyperlink>
        </w:p>
        <w:p w14:paraId="394317E7" w14:textId="4C9D3A72" w:rsidR="00F53249" w:rsidRDefault="00F53249">
          <w:pPr>
            <w:pStyle w:val="TOC1"/>
            <w:rPr>
              <w:rFonts w:asciiTheme="minorHAnsi" w:eastAsiaTheme="minorEastAsia" w:hAnsiTheme="minorHAnsi" w:cstheme="minorBidi"/>
              <w:noProof/>
              <w:kern w:val="2"/>
              <w:sz w:val="24"/>
              <w:szCs w:val="24"/>
              <w14:ligatures w14:val="standardContextual"/>
            </w:rPr>
          </w:pPr>
          <w:hyperlink w:anchor="_Toc221126458" w:history="1">
            <w:r w:rsidRPr="000B0D8D">
              <w:rPr>
                <w:rStyle w:val="Hyperlink"/>
                <w:noProof/>
              </w:rPr>
              <w:t>8</w:t>
            </w:r>
            <w:r>
              <w:rPr>
                <w:rFonts w:asciiTheme="minorHAnsi" w:eastAsiaTheme="minorEastAsia" w:hAnsiTheme="minorHAnsi" w:cstheme="minorBidi"/>
                <w:noProof/>
                <w:kern w:val="2"/>
                <w:sz w:val="24"/>
                <w:szCs w:val="24"/>
                <w14:ligatures w14:val="standardContextual"/>
              </w:rPr>
              <w:tab/>
            </w:r>
            <w:r w:rsidRPr="000B0D8D">
              <w:rPr>
                <w:rStyle w:val="Hyperlink"/>
                <w:noProof/>
              </w:rPr>
              <w:t>Infringement procedures in cases of non-compliance</w:t>
            </w:r>
            <w:r>
              <w:rPr>
                <w:noProof/>
                <w:webHidden/>
              </w:rPr>
              <w:tab/>
            </w:r>
            <w:r>
              <w:rPr>
                <w:noProof/>
                <w:webHidden/>
              </w:rPr>
              <w:fldChar w:fldCharType="begin"/>
            </w:r>
            <w:r>
              <w:rPr>
                <w:noProof/>
                <w:webHidden/>
              </w:rPr>
              <w:instrText xml:space="preserve"> PAGEREF _Toc221126458 \h </w:instrText>
            </w:r>
            <w:r>
              <w:rPr>
                <w:noProof/>
                <w:webHidden/>
              </w:rPr>
            </w:r>
            <w:r>
              <w:rPr>
                <w:noProof/>
                <w:webHidden/>
              </w:rPr>
              <w:fldChar w:fldCharType="separate"/>
            </w:r>
            <w:r>
              <w:rPr>
                <w:noProof/>
                <w:webHidden/>
              </w:rPr>
              <w:t>43</w:t>
            </w:r>
            <w:r>
              <w:rPr>
                <w:noProof/>
                <w:webHidden/>
              </w:rPr>
              <w:fldChar w:fldCharType="end"/>
            </w:r>
          </w:hyperlink>
        </w:p>
        <w:p w14:paraId="727698B6" w14:textId="5DF8C4E5" w:rsidR="00591697" w:rsidRPr="004C7CFA" w:rsidRDefault="00591697" w:rsidP="00760F3B">
          <w:pPr>
            <w:jc w:val="both"/>
            <w:rPr>
              <w:rFonts w:ascii="Times New Roman" w:hAnsi="Times New Roman"/>
              <w:color w:val="1F3864" w:themeColor="accent5" w:themeShade="80"/>
            </w:rPr>
          </w:pPr>
          <w:r w:rsidRPr="0005021B">
            <w:rPr>
              <w:rFonts w:ascii="Times New Roman" w:hAnsi="Times New Roman"/>
              <w:b/>
              <w:bCs/>
              <w:noProof/>
              <w:color w:val="002060"/>
              <w:sz w:val="24"/>
              <w:szCs w:val="24"/>
            </w:rPr>
            <w:fldChar w:fldCharType="end"/>
          </w:r>
        </w:p>
      </w:sdtContent>
    </w:sdt>
    <w:p w14:paraId="4ACD70D5" w14:textId="77777777" w:rsidR="00591697" w:rsidRPr="00385950" w:rsidRDefault="00591697" w:rsidP="00760F3B">
      <w:pPr>
        <w:jc w:val="both"/>
        <w:rPr>
          <w:rFonts w:ascii="Times New Roman" w:hAnsi="Times New Roman"/>
          <w:b/>
          <w:color w:val="003199"/>
          <w:sz w:val="24"/>
          <w:lang w:val="en-GB"/>
        </w:rPr>
      </w:pPr>
      <w:r w:rsidRPr="00385950">
        <w:rPr>
          <w:rFonts w:ascii="Times New Roman" w:hAnsi="Times New Roman"/>
          <w:color w:val="003199"/>
        </w:rPr>
        <w:br w:type="page"/>
      </w:r>
    </w:p>
    <w:p w14:paraId="466E78D0" w14:textId="77777777" w:rsidR="00591697" w:rsidRPr="00760F3B" w:rsidRDefault="00591697" w:rsidP="00760F3B">
      <w:pPr>
        <w:pStyle w:val="Heading1"/>
        <w:ind w:left="357" w:hanging="357"/>
        <w:jc w:val="both"/>
      </w:pPr>
      <w:bookmarkStart w:id="0" w:name="_Toc221126436"/>
      <w:r w:rsidRPr="00760F3B">
        <w:lastRenderedPageBreak/>
        <w:t>Purpose of the Manual</w:t>
      </w:r>
      <w:bookmarkEnd w:id="0"/>
    </w:p>
    <w:p w14:paraId="171DB0D0" w14:textId="681987C2" w:rsidR="00433C3D" w:rsidRPr="00433C3D" w:rsidRDefault="00591697" w:rsidP="00433C3D">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This document provides </w:t>
      </w:r>
      <w:r w:rsidRPr="00760F3B">
        <w:rPr>
          <w:rFonts w:ascii="Times New Roman" w:eastAsia="Arial" w:hAnsi="Times New Roman"/>
          <w:b/>
          <w:color w:val="003199"/>
          <w:sz w:val="24"/>
          <w:szCs w:val="24"/>
          <w:lang w:val="en-GB"/>
        </w:rPr>
        <w:t>guidance and more detailed information on the data reporting requirements</w:t>
      </w:r>
      <w:r w:rsidRPr="00760F3B">
        <w:rPr>
          <w:rFonts w:ascii="Times New Roman" w:hAnsi="Times New Roman"/>
          <w:b/>
          <w:bCs/>
          <w:sz w:val="24"/>
          <w:szCs w:val="24"/>
          <w:lang w:val="en-GB"/>
        </w:rPr>
        <w:t xml:space="preserve"> </w:t>
      </w:r>
      <w:r w:rsidRPr="00760F3B">
        <w:rPr>
          <w:rFonts w:ascii="Times New Roman" w:hAnsi="Times New Roman"/>
          <w:sz w:val="24"/>
          <w:szCs w:val="24"/>
          <w:lang w:val="en-GB"/>
        </w:rPr>
        <w:t>as set out in Regulation ECB/2020/59 on payments statistics amending Regulation ECB/2013/43 of the European Central Bank (ECB) of 1 December 2020 concerning payment statistics, hereinafter referred to as “the Regulation”. This document aims at providing the Reporting Agents a clear and consistent understanding of the statistical requirements.</w:t>
      </w:r>
      <w:r w:rsidR="00433C3D">
        <w:rPr>
          <w:rFonts w:ascii="Times New Roman" w:hAnsi="Times New Roman"/>
          <w:sz w:val="24"/>
          <w:szCs w:val="24"/>
          <w:lang w:val="en-GB"/>
        </w:rPr>
        <w:t xml:space="preserve"> </w:t>
      </w:r>
      <w:r w:rsidR="00433C3D" w:rsidRPr="00433C3D">
        <w:rPr>
          <w:rFonts w:ascii="Times New Roman" w:hAnsi="Times New Roman"/>
          <w:sz w:val="24"/>
          <w:szCs w:val="24"/>
          <w:lang w:val="en-GB"/>
        </w:rPr>
        <w:t>In</w:t>
      </w:r>
      <w:r w:rsidR="00433C3D">
        <w:rPr>
          <w:rFonts w:ascii="Times New Roman" w:hAnsi="Times New Roman"/>
          <w:sz w:val="24"/>
          <w:szCs w:val="24"/>
          <w:lang w:val="en-GB"/>
        </w:rPr>
        <w:t xml:space="preserve"> </w:t>
      </w:r>
      <w:r w:rsidR="00433C3D" w:rsidRPr="00433C3D">
        <w:rPr>
          <w:rFonts w:ascii="Times New Roman" w:hAnsi="Times New Roman"/>
          <w:sz w:val="24"/>
          <w:szCs w:val="24"/>
          <w:lang w:val="en-GB"/>
        </w:rPr>
        <w:t>case</w:t>
      </w:r>
      <w:r w:rsidR="00433C3D">
        <w:rPr>
          <w:rFonts w:ascii="Times New Roman" w:hAnsi="Times New Roman"/>
          <w:sz w:val="24"/>
          <w:szCs w:val="24"/>
          <w:lang w:val="en-GB"/>
        </w:rPr>
        <w:t xml:space="preserve"> </w:t>
      </w:r>
      <w:r w:rsidR="00433C3D" w:rsidRPr="00433C3D">
        <w:rPr>
          <w:rFonts w:ascii="Times New Roman" w:hAnsi="Times New Roman"/>
          <w:sz w:val="24"/>
          <w:szCs w:val="24"/>
          <w:lang w:val="en-GB"/>
        </w:rPr>
        <w:t xml:space="preserve">of (perceived) conflict between this document and the </w:t>
      </w:r>
      <w:hyperlink r:id="rId9" w:history="1">
        <w:r w:rsidR="00433C3D" w:rsidRPr="00561F39">
          <w:rPr>
            <w:rStyle w:val="Hyperlink"/>
            <w:rFonts w:ascii="Times New Roman" w:hAnsi="Times New Roman"/>
            <w:sz w:val="24"/>
            <w:szCs w:val="24"/>
            <w:lang w:val="en-GB"/>
          </w:rPr>
          <w:t>ECB’s manual</w:t>
        </w:r>
      </w:hyperlink>
      <w:r w:rsidR="00433C3D" w:rsidRPr="00433C3D">
        <w:rPr>
          <w:rFonts w:ascii="Times New Roman" w:hAnsi="Times New Roman"/>
          <w:sz w:val="24"/>
          <w:szCs w:val="24"/>
          <w:lang w:val="en-GB"/>
        </w:rPr>
        <w:t xml:space="preserve"> on payment statistics report</w:t>
      </w:r>
      <w:r w:rsidR="00433C3D">
        <w:rPr>
          <w:rFonts w:ascii="Times New Roman" w:hAnsi="Times New Roman"/>
          <w:sz w:val="24"/>
          <w:szCs w:val="24"/>
          <w:lang w:val="en-GB"/>
        </w:rPr>
        <w:t>ing, then the latter supersedes</w:t>
      </w:r>
      <w:r w:rsidR="00433C3D" w:rsidRPr="00433C3D">
        <w:rPr>
          <w:rFonts w:ascii="Times New Roman" w:hAnsi="Times New Roman"/>
          <w:sz w:val="24"/>
          <w:szCs w:val="24"/>
          <w:lang w:val="en-GB"/>
        </w:rPr>
        <w:t>.</w:t>
      </w:r>
    </w:p>
    <w:p w14:paraId="6914C898" w14:textId="77777777" w:rsidR="00591697" w:rsidRPr="00760F3B"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In addition, the Central Bank of Cyprus (hereinafter to be referred to as “CBC”), hereby, prescribes the timeliness of the reporting, the format of the reporting and other general reporting requirements. This is in accordance </w:t>
      </w:r>
      <w:proofErr w:type="gramStart"/>
      <w:r w:rsidRPr="00760F3B">
        <w:rPr>
          <w:rFonts w:ascii="Times New Roman" w:hAnsi="Times New Roman"/>
          <w:sz w:val="24"/>
          <w:szCs w:val="24"/>
          <w:lang w:val="en-GB"/>
        </w:rPr>
        <w:t>to</w:t>
      </w:r>
      <w:proofErr w:type="gramEnd"/>
      <w:r w:rsidRPr="00760F3B">
        <w:rPr>
          <w:rFonts w:ascii="Times New Roman" w:hAnsi="Times New Roman"/>
          <w:sz w:val="24"/>
          <w:szCs w:val="24"/>
          <w:lang w:val="en-GB"/>
        </w:rPr>
        <w:t xml:space="preserve"> the provisions of the Regulation stipulating that the detailed implementation of the collection of statistical information from Reporting Agents to national central banks (NCBs) is organised at a national level under the responsibility of the relevant NCB.</w:t>
      </w:r>
    </w:p>
    <w:p w14:paraId="5D604F6D" w14:textId="77777777" w:rsidR="00591697" w:rsidRPr="00760F3B" w:rsidRDefault="00591697" w:rsidP="00760F3B">
      <w:pPr>
        <w:autoSpaceDE w:val="0"/>
        <w:autoSpaceDN w:val="0"/>
        <w:adjustRightInd w:val="0"/>
        <w:spacing w:before="60" w:after="12" w:line="360" w:lineRule="auto"/>
        <w:jc w:val="both"/>
        <w:rPr>
          <w:rFonts w:ascii="Times New Roman" w:hAnsi="Times New Roman"/>
          <w:color w:val="000000"/>
          <w:sz w:val="24"/>
          <w:szCs w:val="24"/>
          <w:lang w:val="en-GB"/>
        </w:rPr>
      </w:pPr>
      <w:r w:rsidRPr="00760F3B">
        <w:rPr>
          <w:rFonts w:ascii="Times New Roman" w:hAnsi="Times New Roman"/>
          <w:color w:val="000000"/>
          <w:sz w:val="24"/>
          <w:szCs w:val="24"/>
          <w:lang w:val="en-GB"/>
        </w:rPr>
        <w:t xml:space="preserve">The remainder of this document is organised as follows: </w:t>
      </w:r>
    </w:p>
    <w:p w14:paraId="52D3EB21" w14:textId="77777777" w:rsidR="00591697" w:rsidRPr="00760F3B" w:rsidRDefault="00591697" w:rsidP="00760F3B">
      <w:pPr>
        <w:autoSpaceDE w:val="0"/>
        <w:autoSpaceDN w:val="0"/>
        <w:adjustRightInd w:val="0"/>
        <w:spacing w:before="60" w:after="12" w:line="360" w:lineRule="auto"/>
        <w:jc w:val="both"/>
        <w:rPr>
          <w:rFonts w:ascii="Times New Roman" w:hAnsi="Times New Roman"/>
          <w:color w:val="000000"/>
          <w:sz w:val="24"/>
          <w:szCs w:val="24"/>
          <w:lang w:val="en-GB"/>
        </w:rPr>
      </w:pPr>
      <w:r w:rsidRPr="00760F3B">
        <w:rPr>
          <w:rFonts w:ascii="Times New Roman" w:hAnsi="Times New Roman"/>
          <w:b/>
          <w:bCs/>
          <w:color w:val="003199"/>
          <w:sz w:val="24"/>
          <w:szCs w:val="24"/>
          <w:lang w:val="en-GB"/>
        </w:rPr>
        <w:t>Section 2</w:t>
      </w:r>
      <w:r w:rsidRPr="00760F3B">
        <w:rPr>
          <w:rFonts w:ascii="Times New Roman" w:hAnsi="Times New Roman"/>
          <w:b/>
          <w:bCs/>
          <w:color w:val="000000"/>
          <w:sz w:val="24"/>
          <w:szCs w:val="24"/>
          <w:lang w:val="en-GB"/>
        </w:rPr>
        <w:t xml:space="preserve"> </w:t>
      </w:r>
      <w:r w:rsidRPr="00760F3B">
        <w:rPr>
          <w:rFonts w:ascii="Times New Roman" w:hAnsi="Times New Roman"/>
          <w:color w:val="000000"/>
          <w:sz w:val="24"/>
          <w:szCs w:val="24"/>
          <w:lang w:val="en-GB"/>
        </w:rPr>
        <w:t xml:space="preserve">contains information on the scope of the collection of Payment </w:t>
      </w:r>
      <w:proofErr w:type="gramStart"/>
      <w:r w:rsidRPr="00760F3B">
        <w:rPr>
          <w:rFonts w:ascii="Times New Roman" w:hAnsi="Times New Roman"/>
          <w:color w:val="000000"/>
          <w:sz w:val="24"/>
          <w:szCs w:val="24"/>
          <w:lang w:val="en-GB"/>
        </w:rPr>
        <w:t>Statistics;</w:t>
      </w:r>
      <w:proofErr w:type="gramEnd"/>
    </w:p>
    <w:p w14:paraId="26F0255C" w14:textId="77777777" w:rsidR="00591697" w:rsidRPr="00760F3B" w:rsidRDefault="00591697" w:rsidP="00760F3B">
      <w:pPr>
        <w:autoSpaceDE w:val="0"/>
        <w:autoSpaceDN w:val="0"/>
        <w:adjustRightInd w:val="0"/>
        <w:spacing w:before="60" w:after="12" w:line="360" w:lineRule="auto"/>
        <w:jc w:val="both"/>
        <w:rPr>
          <w:rFonts w:ascii="Times New Roman" w:hAnsi="Times New Roman"/>
          <w:color w:val="000000"/>
          <w:sz w:val="24"/>
          <w:szCs w:val="24"/>
          <w:lang w:val="en-GB"/>
        </w:rPr>
      </w:pPr>
      <w:r w:rsidRPr="00760F3B">
        <w:rPr>
          <w:rFonts w:ascii="Times New Roman" w:hAnsi="Times New Roman"/>
          <w:b/>
          <w:bCs/>
          <w:color w:val="003199"/>
          <w:sz w:val="24"/>
          <w:szCs w:val="24"/>
          <w:lang w:val="en-GB"/>
        </w:rPr>
        <w:t>Section 3</w:t>
      </w:r>
      <w:r w:rsidRPr="00760F3B">
        <w:rPr>
          <w:rFonts w:ascii="Times New Roman" w:hAnsi="Times New Roman"/>
          <w:b/>
          <w:bCs/>
          <w:color w:val="000000"/>
          <w:sz w:val="24"/>
          <w:szCs w:val="24"/>
          <w:lang w:val="en-GB"/>
        </w:rPr>
        <w:t xml:space="preserve"> </w:t>
      </w:r>
      <w:r w:rsidRPr="00760F3B">
        <w:rPr>
          <w:rFonts w:ascii="Times New Roman" w:hAnsi="Times New Roman"/>
          <w:color w:val="000000"/>
          <w:sz w:val="24"/>
          <w:szCs w:val="24"/>
          <w:lang w:val="en-GB"/>
        </w:rPr>
        <w:t xml:space="preserve">summarises general reporting </w:t>
      </w:r>
      <w:proofErr w:type="gramStart"/>
      <w:r w:rsidRPr="00760F3B">
        <w:rPr>
          <w:rFonts w:ascii="Times New Roman" w:hAnsi="Times New Roman"/>
          <w:color w:val="000000"/>
          <w:sz w:val="24"/>
          <w:szCs w:val="24"/>
          <w:lang w:val="en-GB"/>
        </w:rPr>
        <w:t>requirements;</w:t>
      </w:r>
      <w:proofErr w:type="gramEnd"/>
    </w:p>
    <w:p w14:paraId="65D60220" w14:textId="77777777" w:rsidR="00591697" w:rsidRPr="00760F3B" w:rsidRDefault="00591697" w:rsidP="00760F3B">
      <w:pPr>
        <w:autoSpaceDE w:val="0"/>
        <w:autoSpaceDN w:val="0"/>
        <w:adjustRightInd w:val="0"/>
        <w:spacing w:before="60" w:after="12" w:line="360" w:lineRule="auto"/>
        <w:jc w:val="both"/>
        <w:rPr>
          <w:rFonts w:ascii="Times New Roman" w:hAnsi="Times New Roman"/>
          <w:color w:val="000000"/>
          <w:sz w:val="24"/>
          <w:szCs w:val="24"/>
          <w:lang w:val="en-GB"/>
        </w:rPr>
      </w:pPr>
      <w:r w:rsidRPr="00760F3B">
        <w:rPr>
          <w:rFonts w:ascii="Times New Roman" w:hAnsi="Times New Roman"/>
          <w:b/>
          <w:bCs/>
          <w:color w:val="003199"/>
          <w:sz w:val="24"/>
          <w:szCs w:val="24"/>
          <w:lang w:val="en-GB"/>
        </w:rPr>
        <w:t xml:space="preserve">Section 4 </w:t>
      </w:r>
      <w:r w:rsidRPr="00760F3B">
        <w:rPr>
          <w:rFonts w:ascii="Times New Roman" w:hAnsi="Times New Roman"/>
          <w:color w:val="000000"/>
          <w:sz w:val="24"/>
          <w:szCs w:val="24"/>
          <w:lang w:val="en-GB"/>
        </w:rPr>
        <w:t>covers technical information with regard</w:t>
      </w:r>
      <w:r w:rsidR="003668F9">
        <w:rPr>
          <w:rFonts w:ascii="Times New Roman" w:hAnsi="Times New Roman"/>
          <w:color w:val="000000"/>
          <w:sz w:val="24"/>
          <w:szCs w:val="24"/>
          <w:lang w:val="en-GB"/>
        </w:rPr>
        <w:t>s</w:t>
      </w:r>
      <w:r w:rsidRPr="00760F3B">
        <w:rPr>
          <w:rFonts w:ascii="Times New Roman" w:hAnsi="Times New Roman"/>
          <w:color w:val="000000"/>
          <w:sz w:val="24"/>
          <w:szCs w:val="24"/>
          <w:lang w:val="en-GB"/>
        </w:rPr>
        <w:t xml:space="preserve"> to the collection of Payment </w:t>
      </w:r>
      <w:proofErr w:type="gramStart"/>
      <w:r w:rsidRPr="00760F3B">
        <w:rPr>
          <w:rFonts w:ascii="Times New Roman" w:hAnsi="Times New Roman"/>
          <w:color w:val="000000"/>
          <w:sz w:val="24"/>
          <w:szCs w:val="24"/>
          <w:lang w:val="en-GB"/>
        </w:rPr>
        <w:t>Statistics;</w:t>
      </w:r>
      <w:proofErr w:type="gramEnd"/>
      <w:r w:rsidRPr="00760F3B">
        <w:rPr>
          <w:rFonts w:ascii="Times New Roman" w:hAnsi="Times New Roman"/>
          <w:color w:val="000000"/>
          <w:sz w:val="24"/>
          <w:szCs w:val="24"/>
          <w:lang w:val="en-GB"/>
        </w:rPr>
        <w:t xml:space="preserve"> </w:t>
      </w:r>
    </w:p>
    <w:p w14:paraId="5E1C7F4F" w14:textId="20055D89" w:rsidR="00591697" w:rsidRDefault="00591697" w:rsidP="00760F3B">
      <w:pPr>
        <w:spacing w:before="60" w:after="12" w:line="360" w:lineRule="auto"/>
        <w:jc w:val="both"/>
        <w:rPr>
          <w:rFonts w:ascii="Times New Roman" w:hAnsi="Times New Roman"/>
          <w:color w:val="000000"/>
          <w:sz w:val="24"/>
          <w:szCs w:val="24"/>
          <w:lang w:val="en-GB"/>
        </w:rPr>
      </w:pPr>
      <w:r w:rsidRPr="00760F3B">
        <w:rPr>
          <w:rFonts w:ascii="Times New Roman" w:hAnsi="Times New Roman"/>
          <w:b/>
          <w:bCs/>
          <w:color w:val="003199"/>
          <w:sz w:val="24"/>
          <w:szCs w:val="24"/>
          <w:lang w:val="en-GB"/>
        </w:rPr>
        <w:t>Section 5</w:t>
      </w:r>
      <w:r w:rsidRPr="00760F3B">
        <w:rPr>
          <w:rFonts w:ascii="Times New Roman" w:hAnsi="Times New Roman"/>
          <w:b/>
          <w:bCs/>
          <w:color w:val="000000"/>
          <w:sz w:val="24"/>
          <w:szCs w:val="24"/>
          <w:lang w:val="en-GB"/>
        </w:rPr>
        <w:t xml:space="preserve"> </w:t>
      </w:r>
      <w:r w:rsidRPr="00760F3B">
        <w:rPr>
          <w:rFonts w:ascii="Times New Roman" w:hAnsi="Times New Roman"/>
          <w:color w:val="000000"/>
          <w:sz w:val="24"/>
          <w:szCs w:val="24"/>
          <w:lang w:val="en-GB"/>
        </w:rPr>
        <w:t xml:space="preserve">provides guidance and a detailed description of the attributes included in the </w:t>
      </w:r>
      <w:proofErr w:type="gramStart"/>
      <w:r w:rsidRPr="00760F3B">
        <w:rPr>
          <w:rFonts w:ascii="Times New Roman" w:hAnsi="Times New Roman"/>
          <w:color w:val="000000"/>
          <w:sz w:val="24"/>
          <w:szCs w:val="24"/>
          <w:lang w:val="en-GB"/>
        </w:rPr>
        <w:t>reporting;</w:t>
      </w:r>
      <w:proofErr w:type="gramEnd"/>
    </w:p>
    <w:p w14:paraId="08E22152" w14:textId="6CAC7055" w:rsidR="00D96F6D" w:rsidRDefault="00D96F6D" w:rsidP="00760F3B">
      <w:pPr>
        <w:spacing w:before="60" w:after="12" w:line="360" w:lineRule="auto"/>
        <w:jc w:val="both"/>
        <w:rPr>
          <w:rFonts w:ascii="Times New Roman" w:hAnsi="Times New Roman"/>
          <w:color w:val="000000"/>
          <w:sz w:val="24"/>
          <w:szCs w:val="24"/>
          <w:lang w:val="en-GB"/>
        </w:rPr>
      </w:pPr>
      <w:r w:rsidRPr="00760F3B">
        <w:rPr>
          <w:rFonts w:ascii="Times New Roman" w:hAnsi="Times New Roman"/>
          <w:b/>
          <w:bCs/>
          <w:color w:val="003199"/>
          <w:sz w:val="24"/>
          <w:szCs w:val="24"/>
          <w:lang w:val="en-GB"/>
        </w:rPr>
        <w:t xml:space="preserve">Section </w:t>
      </w:r>
      <w:r>
        <w:rPr>
          <w:rFonts w:ascii="Times New Roman" w:hAnsi="Times New Roman"/>
          <w:b/>
          <w:bCs/>
          <w:color w:val="003199"/>
          <w:sz w:val="24"/>
          <w:szCs w:val="24"/>
          <w:lang w:val="en-GB"/>
        </w:rPr>
        <w:t>6</w:t>
      </w:r>
      <w:r w:rsidRPr="00760F3B">
        <w:rPr>
          <w:rFonts w:ascii="Times New Roman" w:hAnsi="Times New Roman"/>
          <w:b/>
          <w:bCs/>
          <w:color w:val="000000"/>
          <w:sz w:val="24"/>
          <w:szCs w:val="24"/>
          <w:lang w:val="en-GB"/>
        </w:rPr>
        <w:t xml:space="preserve"> </w:t>
      </w:r>
      <w:r>
        <w:rPr>
          <w:rFonts w:ascii="Times New Roman" w:hAnsi="Times New Roman"/>
          <w:color w:val="000000"/>
          <w:sz w:val="24"/>
          <w:szCs w:val="24"/>
          <w:lang w:val="en-GB"/>
        </w:rPr>
        <w:t>inclu</w:t>
      </w:r>
      <w:r w:rsidRPr="00760F3B">
        <w:rPr>
          <w:rFonts w:ascii="Times New Roman" w:hAnsi="Times New Roman"/>
          <w:color w:val="000000"/>
          <w:sz w:val="24"/>
          <w:szCs w:val="24"/>
          <w:lang w:val="en-GB"/>
        </w:rPr>
        <w:t>des</w:t>
      </w:r>
      <w:r>
        <w:rPr>
          <w:rFonts w:ascii="Times New Roman" w:hAnsi="Times New Roman"/>
          <w:color w:val="000000"/>
          <w:sz w:val="24"/>
          <w:szCs w:val="24"/>
          <w:lang w:val="en-GB"/>
        </w:rPr>
        <w:t xml:space="preserve"> the cross checks</w:t>
      </w:r>
      <w:r w:rsidR="0074401F">
        <w:rPr>
          <w:rFonts w:ascii="Times New Roman" w:hAnsi="Times New Roman"/>
          <w:color w:val="000000"/>
          <w:sz w:val="24"/>
          <w:szCs w:val="24"/>
          <w:lang w:val="en-GB"/>
        </w:rPr>
        <w:t xml:space="preserve"> </w:t>
      </w:r>
      <w:r w:rsidR="0074401F">
        <w:rPr>
          <w:rFonts w:ascii="Times New Roman" w:hAnsi="Times New Roman"/>
          <w:sz w:val="24"/>
          <w:szCs w:val="24"/>
          <w:lang w:val="en-GB"/>
        </w:rPr>
        <w:t xml:space="preserve">between the semi-annual data and </w:t>
      </w:r>
      <w:r w:rsidR="0074401F" w:rsidRPr="006D208C">
        <w:rPr>
          <w:rFonts w:ascii="Times New Roman" w:hAnsi="Times New Roman"/>
          <w:sz w:val="24"/>
          <w:szCs w:val="24"/>
          <w:lang w:val="en-GB"/>
        </w:rPr>
        <w:t xml:space="preserve">the corresponding quarterly </w:t>
      </w:r>
      <w:r w:rsidR="0074401F">
        <w:rPr>
          <w:rFonts w:ascii="Times New Roman" w:hAnsi="Times New Roman"/>
          <w:sz w:val="24"/>
          <w:szCs w:val="24"/>
          <w:lang w:val="en-GB"/>
        </w:rPr>
        <w:t xml:space="preserve">data </w:t>
      </w:r>
      <w:r w:rsidR="0074401F" w:rsidRPr="006D208C">
        <w:rPr>
          <w:rFonts w:ascii="Times New Roman" w:hAnsi="Times New Roman"/>
          <w:sz w:val="24"/>
          <w:szCs w:val="24"/>
          <w:lang w:val="en-GB"/>
        </w:rPr>
        <w:t xml:space="preserve">submitted for the same </w:t>
      </w:r>
      <w:proofErr w:type="gramStart"/>
      <w:r w:rsidR="0074401F" w:rsidRPr="006D208C">
        <w:rPr>
          <w:rFonts w:ascii="Times New Roman" w:hAnsi="Times New Roman"/>
          <w:sz w:val="24"/>
          <w:szCs w:val="24"/>
          <w:lang w:val="en-GB"/>
        </w:rPr>
        <w:t>year</w:t>
      </w:r>
      <w:r w:rsidR="0074401F">
        <w:rPr>
          <w:rFonts w:ascii="Times New Roman" w:hAnsi="Times New Roman"/>
          <w:sz w:val="24"/>
          <w:szCs w:val="24"/>
          <w:lang w:val="en-GB"/>
        </w:rPr>
        <w:t>;</w:t>
      </w:r>
      <w:proofErr w:type="gramEnd"/>
    </w:p>
    <w:p w14:paraId="064CD2F1" w14:textId="625B2CB0" w:rsidR="0009250E" w:rsidRDefault="0009250E" w:rsidP="0009250E">
      <w:pPr>
        <w:spacing w:before="60" w:after="12" w:line="360" w:lineRule="auto"/>
        <w:jc w:val="both"/>
        <w:rPr>
          <w:rFonts w:ascii="Times New Roman" w:hAnsi="Times New Roman"/>
          <w:color w:val="000000"/>
          <w:sz w:val="24"/>
          <w:szCs w:val="24"/>
          <w:lang w:val="en-GB"/>
        </w:rPr>
      </w:pPr>
      <w:r w:rsidRPr="00760F3B">
        <w:rPr>
          <w:rFonts w:ascii="Times New Roman" w:hAnsi="Times New Roman"/>
          <w:b/>
          <w:bCs/>
          <w:color w:val="003199"/>
          <w:sz w:val="24"/>
          <w:szCs w:val="24"/>
          <w:lang w:val="en-GB"/>
        </w:rPr>
        <w:t xml:space="preserve">Section </w:t>
      </w:r>
      <w:r w:rsidR="00D96F6D">
        <w:rPr>
          <w:rFonts w:ascii="Times New Roman" w:hAnsi="Times New Roman"/>
          <w:b/>
          <w:bCs/>
          <w:color w:val="003199"/>
          <w:sz w:val="24"/>
          <w:szCs w:val="24"/>
          <w:lang w:val="en-GB"/>
        </w:rPr>
        <w:t>7</w:t>
      </w:r>
      <w:r w:rsidRPr="00760F3B">
        <w:rPr>
          <w:rFonts w:ascii="Times New Roman" w:hAnsi="Times New Roman"/>
          <w:b/>
          <w:bCs/>
          <w:color w:val="000000"/>
          <w:sz w:val="24"/>
          <w:szCs w:val="24"/>
          <w:lang w:val="en-GB"/>
        </w:rPr>
        <w:t xml:space="preserve"> </w:t>
      </w:r>
      <w:r>
        <w:rPr>
          <w:rFonts w:ascii="Times New Roman" w:hAnsi="Times New Roman"/>
          <w:color w:val="000000"/>
          <w:sz w:val="24"/>
          <w:szCs w:val="24"/>
          <w:lang w:val="en-GB"/>
        </w:rPr>
        <w:t xml:space="preserve">describes the revision </w:t>
      </w:r>
      <w:proofErr w:type="gramStart"/>
      <w:r>
        <w:rPr>
          <w:rFonts w:ascii="Times New Roman" w:hAnsi="Times New Roman"/>
          <w:color w:val="000000"/>
          <w:sz w:val="24"/>
          <w:szCs w:val="24"/>
          <w:lang w:val="en-GB"/>
        </w:rPr>
        <w:t>policy</w:t>
      </w:r>
      <w:r w:rsidRPr="00760F3B">
        <w:rPr>
          <w:rFonts w:ascii="Times New Roman" w:hAnsi="Times New Roman"/>
          <w:color w:val="000000"/>
          <w:sz w:val="24"/>
          <w:szCs w:val="24"/>
          <w:lang w:val="en-GB"/>
        </w:rPr>
        <w:t>;</w:t>
      </w:r>
      <w:proofErr w:type="gramEnd"/>
    </w:p>
    <w:p w14:paraId="4C4527D7" w14:textId="4961CBE6" w:rsidR="00A16A6B" w:rsidRDefault="00A16A6B" w:rsidP="00A16A6B">
      <w:pPr>
        <w:spacing w:before="60" w:after="12" w:line="360" w:lineRule="auto"/>
        <w:jc w:val="both"/>
        <w:rPr>
          <w:rFonts w:ascii="Times New Roman" w:hAnsi="Times New Roman"/>
          <w:color w:val="000000"/>
          <w:sz w:val="24"/>
          <w:szCs w:val="24"/>
          <w:lang w:val="en-GB"/>
        </w:rPr>
      </w:pPr>
      <w:r w:rsidRPr="00760F3B">
        <w:rPr>
          <w:rFonts w:ascii="Times New Roman" w:hAnsi="Times New Roman"/>
          <w:b/>
          <w:bCs/>
          <w:color w:val="003199"/>
          <w:sz w:val="24"/>
          <w:szCs w:val="24"/>
          <w:lang w:val="en-GB"/>
        </w:rPr>
        <w:t xml:space="preserve">Section </w:t>
      </w:r>
      <w:r w:rsidR="00D96F6D">
        <w:rPr>
          <w:rFonts w:ascii="Times New Roman" w:hAnsi="Times New Roman"/>
          <w:b/>
          <w:bCs/>
          <w:color w:val="003199"/>
          <w:sz w:val="24"/>
          <w:szCs w:val="24"/>
          <w:lang w:val="en-GB"/>
        </w:rPr>
        <w:t>8</w:t>
      </w:r>
      <w:r w:rsidRPr="00760F3B">
        <w:rPr>
          <w:rFonts w:ascii="Times New Roman" w:hAnsi="Times New Roman"/>
          <w:b/>
          <w:bCs/>
          <w:color w:val="000000"/>
          <w:sz w:val="24"/>
          <w:szCs w:val="24"/>
          <w:lang w:val="en-GB"/>
        </w:rPr>
        <w:t xml:space="preserve"> </w:t>
      </w:r>
      <w:r w:rsidR="000E2BFE">
        <w:rPr>
          <w:rFonts w:ascii="Times New Roman" w:hAnsi="Times New Roman"/>
          <w:color w:val="000000"/>
          <w:sz w:val="24"/>
          <w:szCs w:val="24"/>
          <w:lang w:val="en-GB"/>
        </w:rPr>
        <w:t>lays down</w:t>
      </w:r>
      <w:r>
        <w:rPr>
          <w:rFonts w:ascii="Times New Roman" w:hAnsi="Times New Roman"/>
          <w:color w:val="000000"/>
          <w:sz w:val="24"/>
          <w:szCs w:val="24"/>
          <w:lang w:val="en-GB"/>
        </w:rPr>
        <w:t xml:space="preserve"> the i</w:t>
      </w:r>
      <w:r w:rsidRPr="00A16A6B">
        <w:rPr>
          <w:rFonts w:ascii="Times New Roman" w:hAnsi="Times New Roman"/>
          <w:color w:val="000000"/>
          <w:sz w:val="24"/>
          <w:szCs w:val="24"/>
          <w:lang w:val="en-GB"/>
        </w:rPr>
        <w:t xml:space="preserve">nfringement procedures in cases of non-compliance with statistical reporting </w:t>
      </w:r>
      <w:proofErr w:type="gramStart"/>
      <w:r w:rsidRPr="00A16A6B">
        <w:rPr>
          <w:rFonts w:ascii="Times New Roman" w:hAnsi="Times New Roman"/>
          <w:color w:val="000000"/>
          <w:sz w:val="24"/>
          <w:szCs w:val="24"/>
          <w:lang w:val="en-GB"/>
        </w:rPr>
        <w:t>requirements</w:t>
      </w:r>
      <w:r w:rsidRPr="00760F3B">
        <w:rPr>
          <w:rFonts w:ascii="Times New Roman" w:hAnsi="Times New Roman"/>
          <w:color w:val="000000"/>
          <w:sz w:val="24"/>
          <w:szCs w:val="24"/>
          <w:lang w:val="en-GB"/>
        </w:rPr>
        <w:t>;</w:t>
      </w:r>
      <w:proofErr w:type="gramEnd"/>
    </w:p>
    <w:p w14:paraId="1416371A" w14:textId="77777777" w:rsidR="00591697" w:rsidRPr="00760F3B" w:rsidRDefault="00591697" w:rsidP="00760F3B">
      <w:pPr>
        <w:pStyle w:val="Heading1"/>
        <w:jc w:val="both"/>
      </w:pPr>
      <w:bookmarkStart w:id="1" w:name="_Toc221126437"/>
      <w:r w:rsidRPr="00760F3B">
        <w:t>Scope of the collection of statistical information</w:t>
      </w:r>
      <w:bookmarkEnd w:id="1"/>
    </w:p>
    <w:p w14:paraId="334CABAD" w14:textId="77777777" w:rsidR="00591697" w:rsidRPr="00760F3B"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The Regulation is legally binding on all</w:t>
      </w:r>
      <w:r w:rsidRPr="00760F3B">
        <w:rPr>
          <w:rFonts w:ascii="Times New Roman" w:hAnsi="Times New Roman"/>
          <w:b/>
          <w:color w:val="003199"/>
          <w:sz w:val="24"/>
          <w:szCs w:val="24"/>
          <w:lang w:val="en-GB"/>
        </w:rPr>
        <w:t xml:space="preserve"> payment service providers</w:t>
      </w:r>
      <w:r w:rsidRPr="00760F3B">
        <w:rPr>
          <w:rFonts w:ascii="Times New Roman" w:hAnsi="Times New Roman"/>
          <w:sz w:val="24"/>
          <w:szCs w:val="24"/>
          <w:lang w:val="en-GB"/>
        </w:rPr>
        <w:t xml:space="preserve"> (PSPs) and </w:t>
      </w:r>
      <w:r w:rsidRPr="00760F3B">
        <w:rPr>
          <w:rFonts w:ascii="Times New Roman" w:hAnsi="Times New Roman"/>
          <w:b/>
          <w:color w:val="003199"/>
          <w:sz w:val="24"/>
          <w:szCs w:val="24"/>
          <w:lang w:val="en-GB"/>
        </w:rPr>
        <w:t>payment system operators</w:t>
      </w:r>
      <w:r w:rsidRPr="00760F3B">
        <w:rPr>
          <w:rFonts w:ascii="Times New Roman" w:hAnsi="Times New Roman"/>
          <w:sz w:val="24"/>
          <w:szCs w:val="24"/>
          <w:lang w:val="en-GB"/>
        </w:rPr>
        <w:t xml:space="preserve"> (PSOs). PSPs include credit institutions</w:t>
      </w:r>
      <w:r w:rsidR="00C436A0">
        <w:rPr>
          <w:rFonts w:ascii="Times New Roman" w:hAnsi="Times New Roman"/>
          <w:sz w:val="24"/>
          <w:szCs w:val="24"/>
          <w:lang w:val="en-GB"/>
        </w:rPr>
        <w:t xml:space="preserve"> (CIs)</w:t>
      </w:r>
      <w:r w:rsidRPr="00760F3B">
        <w:rPr>
          <w:rFonts w:ascii="Times New Roman" w:hAnsi="Times New Roman"/>
          <w:sz w:val="24"/>
          <w:szCs w:val="24"/>
          <w:lang w:val="en-GB"/>
        </w:rPr>
        <w:t>, e-money institutions</w:t>
      </w:r>
      <w:r w:rsidR="00C436A0">
        <w:rPr>
          <w:rFonts w:ascii="Times New Roman" w:hAnsi="Times New Roman"/>
          <w:sz w:val="24"/>
          <w:szCs w:val="24"/>
          <w:lang w:val="en-GB"/>
        </w:rPr>
        <w:t xml:space="preserve"> (EMIs)</w:t>
      </w:r>
      <w:r w:rsidRPr="00760F3B">
        <w:rPr>
          <w:rFonts w:ascii="Times New Roman" w:hAnsi="Times New Roman"/>
          <w:sz w:val="24"/>
          <w:szCs w:val="24"/>
          <w:lang w:val="en-GB"/>
        </w:rPr>
        <w:t>, payment institutions</w:t>
      </w:r>
      <w:r w:rsidR="00C436A0">
        <w:rPr>
          <w:rFonts w:ascii="Times New Roman" w:hAnsi="Times New Roman"/>
          <w:sz w:val="24"/>
          <w:szCs w:val="24"/>
          <w:lang w:val="en-GB"/>
        </w:rPr>
        <w:t xml:space="preserve"> (PIs)</w:t>
      </w:r>
      <w:r w:rsidRPr="00760F3B">
        <w:rPr>
          <w:rFonts w:ascii="Times New Roman" w:hAnsi="Times New Roman"/>
          <w:sz w:val="24"/>
          <w:szCs w:val="24"/>
          <w:lang w:val="en-GB"/>
        </w:rPr>
        <w:t xml:space="preserve">, post office giro institutions, EU Member States or their regional or local authorities </w:t>
      </w:r>
      <w:r w:rsidRPr="00760F3B">
        <w:rPr>
          <w:rFonts w:ascii="Times New Roman" w:hAnsi="Times New Roman"/>
          <w:sz w:val="24"/>
          <w:szCs w:val="24"/>
          <w:lang w:val="en-GB"/>
        </w:rPr>
        <w:lastRenderedPageBreak/>
        <w:t>when not acting in their capacity as public authorities and the national central banks and the ECB when not acting in their capacity as monetary authority or other public authorities</w:t>
      </w:r>
      <w:r w:rsidRPr="00760F3B">
        <w:rPr>
          <w:rStyle w:val="FootnoteReference"/>
          <w:rFonts w:ascii="Times New Roman" w:hAnsi="Times New Roman"/>
          <w:sz w:val="24"/>
          <w:szCs w:val="24"/>
          <w:lang w:val="en-GB"/>
        </w:rPr>
        <w:footnoteReference w:id="1"/>
      </w:r>
      <w:r w:rsidRPr="00760F3B">
        <w:rPr>
          <w:rFonts w:ascii="Times New Roman" w:hAnsi="Times New Roman"/>
          <w:sz w:val="24"/>
          <w:szCs w:val="24"/>
          <w:lang w:val="en-GB"/>
        </w:rPr>
        <w:t>.</w:t>
      </w:r>
    </w:p>
    <w:p w14:paraId="1F62CD6A" w14:textId="77777777" w:rsidR="00591697" w:rsidRPr="00760F3B" w:rsidRDefault="00DA28E7" w:rsidP="00760F3B">
      <w:pPr>
        <w:spacing w:before="60" w:after="12" w:line="360" w:lineRule="auto"/>
        <w:jc w:val="both"/>
        <w:rPr>
          <w:rFonts w:ascii="Times New Roman" w:hAnsi="Times New Roman"/>
          <w:sz w:val="24"/>
          <w:szCs w:val="24"/>
          <w:lang w:val="en-GB"/>
        </w:rPr>
      </w:pPr>
      <w:r>
        <w:rPr>
          <w:rFonts w:ascii="Times New Roman" w:hAnsi="Times New Roman"/>
          <w:sz w:val="24"/>
          <w:szCs w:val="24"/>
          <w:lang w:val="en-GB"/>
        </w:rPr>
        <w:t xml:space="preserve">The </w:t>
      </w:r>
      <w:r w:rsidR="00591697" w:rsidRPr="00760F3B">
        <w:rPr>
          <w:rFonts w:ascii="Times New Roman" w:hAnsi="Times New Roman"/>
          <w:sz w:val="24"/>
          <w:szCs w:val="24"/>
          <w:lang w:val="en-GB"/>
        </w:rPr>
        <w:t>CBC shall collect statistical information from all</w:t>
      </w:r>
      <w:r w:rsidR="00A32D86">
        <w:rPr>
          <w:rFonts w:ascii="Times New Roman" w:hAnsi="Times New Roman"/>
          <w:sz w:val="24"/>
          <w:szCs w:val="24"/>
          <w:lang w:val="en-GB"/>
        </w:rPr>
        <w:t xml:space="preserve"> resident PSPs (i.e.</w:t>
      </w:r>
      <w:r w:rsidR="00591697" w:rsidRPr="00760F3B">
        <w:rPr>
          <w:rFonts w:ascii="Times New Roman" w:hAnsi="Times New Roman"/>
          <w:sz w:val="24"/>
          <w:szCs w:val="24"/>
          <w:lang w:val="en-GB"/>
        </w:rPr>
        <w:t xml:space="preserve"> PSPs incorporated and located in Cyprus</w:t>
      </w:r>
      <w:r w:rsidR="00A32D86">
        <w:rPr>
          <w:rFonts w:ascii="Times New Roman" w:hAnsi="Times New Roman"/>
          <w:sz w:val="24"/>
          <w:szCs w:val="24"/>
          <w:lang w:val="en-GB"/>
        </w:rPr>
        <w:t>)</w:t>
      </w:r>
      <w:r w:rsidR="00591697" w:rsidRPr="00760F3B">
        <w:rPr>
          <w:rFonts w:ascii="Times New Roman" w:hAnsi="Times New Roman"/>
          <w:sz w:val="24"/>
          <w:szCs w:val="24"/>
          <w:lang w:val="en-GB"/>
        </w:rPr>
        <w:t xml:space="preserve">, including subsidiaries that </w:t>
      </w:r>
      <w:proofErr w:type="gramStart"/>
      <w:r w:rsidR="00591697" w:rsidRPr="00760F3B">
        <w:rPr>
          <w:rFonts w:ascii="Times New Roman" w:hAnsi="Times New Roman"/>
          <w:sz w:val="24"/>
          <w:szCs w:val="24"/>
          <w:lang w:val="en-GB"/>
        </w:rPr>
        <w:t>are located in</w:t>
      </w:r>
      <w:proofErr w:type="gramEnd"/>
      <w:r w:rsidR="00591697" w:rsidRPr="00760F3B">
        <w:rPr>
          <w:rFonts w:ascii="Times New Roman" w:hAnsi="Times New Roman"/>
          <w:sz w:val="24"/>
          <w:szCs w:val="24"/>
          <w:lang w:val="en-GB"/>
        </w:rPr>
        <w:t xml:space="preserve"> Cyprus of parent companies located outside Cyprus, and branches located in Cyprus of institutions that have their head office outside Cyprus. </w:t>
      </w:r>
    </w:p>
    <w:p w14:paraId="2C6F0C83" w14:textId="77777777" w:rsidR="00591697" w:rsidRPr="00760F3B" w:rsidRDefault="00591697" w:rsidP="00760F3B">
      <w:pPr>
        <w:jc w:val="both"/>
        <w:rPr>
          <w:rFonts w:ascii="Times New Roman" w:hAnsi="Times New Roman"/>
          <w:lang w:val="en-GB"/>
        </w:rPr>
      </w:pPr>
    </w:p>
    <w:p w14:paraId="3B3FCF7D" w14:textId="77777777" w:rsidR="00591697" w:rsidRPr="00760F3B" w:rsidRDefault="00591697" w:rsidP="00760F3B">
      <w:pPr>
        <w:pStyle w:val="Heading1"/>
        <w:jc w:val="both"/>
      </w:pPr>
      <w:bookmarkStart w:id="2" w:name="_General_reporting_requirements"/>
      <w:bookmarkStart w:id="3" w:name="_Toc221126438"/>
      <w:bookmarkEnd w:id="2"/>
      <w:r w:rsidRPr="00760F3B">
        <w:t>General reporting requirements</w:t>
      </w:r>
      <w:bookmarkEnd w:id="3"/>
    </w:p>
    <w:p w14:paraId="1A07B658" w14:textId="77777777" w:rsidR="00591697" w:rsidRPr="00760F3B" w:rsidRDefault="00591697" w:rsidP="00760F3B">
      <w:pPr>
        <w:pStyle w:val="Heading2"/>
        <w:spacing w:before="240" w:after="120" w:line="360" w:lineRule="auto"/>
        <w:ind w:left="714" w:hanging="357"/>
        <w:jc w:val="both"/>
        <w:rPr>
          <w:rFonts w:ascii="Times New Roman" w:hAnsi="Times New Roman" w:cs="Times New Roman"/>
          <w:color w:val="003199"/>
          <w:sz w:val="28"/>
          <w:szCs w:val="28"/>
          <w:lang w:val="en-GB"/>
        </w:rPr>
      </w:pPr>
      <w:bookmarkStart w:id="4" w:name="_Toc221126439"/>
      <w:r w:rsidRPr="00760F3B">
        <w:rPr>
          <w:rFonts w:ascii="Times New Roman" w:hAnsi="Times New Roman" w:cs="Times New Roman"/>
          <w:color w:val="003199"/>
          <w:sz w:val="28"/>
          <w:szCs w:val="28"/>
          <w:lang w:val="en-GB"/>
        </w:rPr>
        <w:t>Implementation</w:t>
      </w:r>
      <w:bookmarkEnd w:id="4"/>
    </w:p>
    <w:p w14:paraId="34EB0FD5" w14:textId="77777777" w:rsidR="00591697" w:rsidRPr="00760F3B"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The Regulation will be </w:t>
      </w:r>
      <w:r w:rsidRPr="00760F3B">
        <w:rPr>
          <w:rFonts w:ascii="Times New Roman" w:hAnsi="Times New Roman"/>
          <w:b/>
          <w:color w:val="003199"/>
          <w:sz w:val="24"/>
          <w:szCs w:val="24"/>
          <w:lang w:val="en-GB"/>
        </w:rPr>
        <w:t>applicable from 1 January 2022</w:t>
      </w:r>
      <w:r w:rsidRPr="00760F3B">
        <w:rPr>
          <w:rFonts w:ascii="Times New Roman" w:hAnsi="Times New Roman"/>
          <w:sz w:val="24"/>
          <w:szCs w:val="24"/>
          <w:lang w:val="en-GB"/>
        </w:rPr>
        <w:t xml:space="preserve">. Therefore, the data reporting requirements prescribed in this document shall take effect from the reporting periods starting on 1 January 2022. </w:t>
      </w:r>
    </w:p>
    <w:p w14:paraId="38CB2B42" w14:textId="77777777" w:rsidR="00591697" w:rsidRPr="00760F3B" w:rsidRDefault="00591697" w:rsidP="00BE6FDA">
      <w:pPr>
        <w:pStyle w:val="Heading2"/>
        <w:spacing w:before="360" w:after="120" w:line="360" w:lineRule="auto"/>
        <w:ind w:left="714" w:hanging="357"/>
        <w:jc w:val="both"/>
        <w:rPr>
          <w:rFonts w:ascii="Times New Roman" w:hAnsi="Times New Roman" w:cs="Times New Roman"/>
          <w:color w:val="003199"/>
          <w:sz w:val="28"/>
          <w:szCs w:val="28"/>
          <w:lang w:val="en-GB"/>
        </w:rPr>
      </w:pPr>
      <w:bookmarkStart w:id="5" w:name="_Toc221126440"/>
      <w:r w:rsidRPr="00760F3B">
        <w:rPr>
          <w:rFonts w:ascii="Times New Roman" w:hAnsi="Times New Roman" w:cs="Times New Roman"/>
          <w:color w:val="003199"/>
          <w:sz w:val="28"/>
          <w:szCs w:val="28"/>
          <w:lang w:val="en-GB"/>
        </w:rPr>
        <w:t>Frequency and timeliness</w:t>
      </w:r>
      <w:bookmarkEnd w:id="5"/>
      <w:r w:rsidRPr="00760F3B">
        <w:rPr>
          <w:rFonts w:ascii="Times New Roman" w:hAnsi="Times New Roman" w:cs="Times New Roman"/>
          <w:color w:val="003199"/>
          <w:sz w:val="28"/>
          <w:szCs w:val="28"/>
          <w:lang w:val="en-GB"/>
        </w:rPr>
        <w:t xml:space="preserve"> </w:t>
      </w:r>
    </w:p>
    <w:p w14:paraId="65474463" w14:textId="77777777" w:rsidR="00591697" w:rsidRPr="00760F3B" w:rsidRDefault="00591697" w:rsidP="00760F3B">
      <w:pPr>
        <w:spacing w:after="120"/>
        <w:ind w:left="714"/>
        <w:jc w:val="both"/>
        <w:rPr>
          <w:rFonts w:ascii="Times New Roman" w:hAnsi="Times New Roman"/>
          <w:color w:val="003199"/>
          <w:sz w:val="24"/>
          <w:szCs w:val="24"/>
          <w:lang w:val="en-GB"/>
        </w:rPr>
      </w:pPr>
      <w:r w:rsidRPr="00760F3B">
        <w:rPr>
          <w:rFonts w:ascii="Times New Roman" w:hAnsi="Times New Roman"/>
          <w:color w:val="003199"/>
          <w:sz w:val="24"/>
          <w:szCs w:val="24"/>
          <w:lang w:val="en-GB"/>
        </w:rPr>
        <w:t xml:space="preserve">Frequency </w:t>
      </w:r>
    </w:p>
    <w:p w14:paraId="7A1779C1" w14:textId="77777777" w:rsidR="00591697" w:rsidRPr="00760F3B" w:rsidRDefault="00591697" w:rsidP="00760F3B">
      <w:pPr>
        <w:spacing w:beforeLines="60" w:before="144" w:after="12"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Statistical data will no longer be collected on an annual basis, but rather on a </w:t>
      </w:r>
      <w:r w:rsidRPr="00760F3B">
        <w:rPr>
          <w:rFonts w:ascii="Times New Roman" w:hAnsi="Times New Roman"/>
          <w:b/>
          <w:color w:val="003199"/>
          <w:sz w:val="24"/>
          <w:szCs w:val="24"/>
          <w:lang w:val="en-GB"/>
        </w:rPr>
        <w:t>quarterly</w:t>
      </w:r>
      <w:r w:rsidRPr="00760F3B">
        <w:rPr>
          <w:rFonts w:ascii="Times New Roman" w:hAnsi="Times New Roman"/>
          <w:color w:val="003199"/>
          <w:sz w:val="24"/>
          <w:szCs w:val="24"/>
          <w:lang w:val="en-GB"/>
        </w:rPr>
        <w:t xml:space="preserve"> </w:t>
      </w:r>
      <w:r w:rsidRPr="00760F3B">
        <w:rPr>
          <w:rFonts w:ascii="Times New Roman" w:hAnsi="Times New Roman"/>
          <w:sz w:val="24"/>
          <w:szCs w:val="24"/>
          <w:lang w:val="en-GB"/>
        </w:rPr>
        <w:t xml:space="preserve">and </w:t>
      </w:r>
      <w:r w:rsidRPr="00760F3B">
        <w:rPr>
          <w:rFonts w:ascii="Times New Roman" w:hAnsi="Times New Roman"/>
          <w:b/>
          <w:color w:val="003199"/>
          <w:sz w:val="24"/>
          <w:szCs w:val="24"/>
          <w:lang w:val="en-GB"/>
        </w:rPr>
        <w:t>half-yearly basis</w:t>
      </w:r>
      <w:r w:rsidRPr="00760F3B">
        <w:rPr>
          <w:rFonts w:ascii="Times New Roman" w:hAnsi="Times New Roman"/>
          <w:color w:val="003199"/>
          <w:sz w:val="24"/>
          <w:szCs w:val="24"/>
          <w:lang w:val="en-GB"/>
        </w:rPr>
        <w:t xml:space="preserve"> </w:t>
      </w:r>
      <w:r w:rsidRPr="00760F3B">
        <w:rPr>
          <w:rFonts w:ascii="Times New Roman" w:hAnsi="Times New Roman"/>
          <w:sz w:val="24"/>
          <w:szCs w:val="24"/>
          <w:lang w:val="en-GB"/>
        </w:rPr>
        <w:t>by all PSPs, and PSOs.</w:t>
      </w:r>
    </w:p>
    <w:p w14:paraId="71A6E19D" w14:textId="77777777" w:rsidR="00591697" w:rsidRPr="00760F3B" w:rsidRDefault="00591697" w:rsidP="00760F3B">
      <w:pPr>
        <w:spacing w:beforeLines="60" w:before="144" w:after="12" w:line="360" w:lineRule="auto"/>
        <w:jc w:val="both"/>
        <w:rPr>
          <w:rFonts w:ascii="Times New Roman" w:hAnsi="Times New Roman"/>
          <w:sz w:val="24"/>
          <w:szCs w:val="24"/>
          <w:lang w:val="en-GB"/>
        </w:rPr>
      </w:pPr>
      <w:r w:rsidRPr="00760F3B">
        <w:rPr>
          <w:rFonts w:ascii="Times New Roman" w:hAnsi="Times New Roman"/>
          <w:sz w:val="24"/>
          <w:szCs w:val="24"/>
          <w:lang w:val="en-GB"/>
        </w:rPr>
        <w:t>The fi</w:t>
      </w:r>
      <w:proofErr w:type="spellStart"/>
      <w:r w:rsidRPr="00760F3B">
        <w:rPr>
          <w:rFonts w:ascii="Times New Roman" w:hAnsi="Times New Roman"/>
          <w:sz w:val="24"/>
          <w:szCs w:val="24"/>
          <w:lang w:val="en-US"/>
        </w:rPr>
        <w:t>rst</w:t>
      </w:r>
      <w:proofErr w:type="spellEnd"/>
      <w:r w:rsidRPr="00760F3B">
        <w:rPr>
          <w:rFonts w:ascii="Times New Roman" w:hAnsi="Times New Roman"/>
          <w:sz w:val="24"/>
          <w:szCs w:val="24"/>
          <w:lang w:val="en-US"/>
        </w:rPr>
        <w:t xml:space="preserve"> reporting shall include quarterly data for the reference period Q1 2022 and semi-annual data for the reference period H1 2022.</w:t>
      </w:r>
    </w:p>
    <w:p w14:paraId="2A2A31A8" w14:textId="77777777" w:rsidR="00591697" w:rsidRPr="00760F3B" w:rsidRDefault="00591697" w:rsidP="00760F3B">
      <w:pPr>
        <w:spacing w:before="120" w:after="120"/>
        <w:ind w:left="714"/>
        <w:jc w:val="both"/>
        <w:rPr>
          <w:rFonts w:ascii="Times New Roman" w:hAnsi="Times New Roman"/>
          <w:color w:val="003199"/>
          <w:sz w:val="24"/>
          <w:szCs w:val="24"/>
          <w:lang w:val="en-GB"/>
        </w:rPr>
      </w:pPr>
      <w:r w:rsidRPr="00760F3B">
        <w:rPr>
          <w:rFonts w:ascii="Times New Roman" w:hAnsi="Times New Roman"/>
          <w:color w:val="003199"/>
          <w:sz w:val="24"/>
          <w:szCs w:val="24"/>
          <w:lang w:val="en-GB"/>
        </w:rPr>
        <w:t>Timeliness</w:t>
      </w:r>
    </w:p>
    <w:p w14:paraId="2FBFC9FB" w14:textId="77777777" w:rsidR="00591697"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Quarterly report</w:t>
      </w:r>
      <w:r w:rsidR="00851779">
        <w:rPr>
          <w:rFonts w:ascii="Times New Roman" w:hAnsi="Times New Roman"/>
          <w:sz w:val="24"/>
          <w:szCs w:val="24"/>
          <w:lang w:val="en-GB"/>
        </w:rPr>
        <w:t>ing template</w:t>
      </w:r>
      <w:r w:rsidRPr="00760F3B">
        <w:rPr>
          <w:rFonts w:ascii="Times New Roman" w:hAnsi="Times New Roman"/>
          <w:sz w:val="24"/>
          <w:szCs w:val="24"/>
          <w:lang w:val="en-GB"/>
        </w:rPr>
        <w:t xml:space="preserve">s are to be transmitted to the CBC by the </w:t>
      </w:r>
      <w:r w:rsidRPr="00760F3B">
        <w:rPr>
          <w:rFonts w:ascii="Times New Roman" w:hAnsi="Times New Roman"/>
          <w:b/>
          <w:color w:val="003199"/>
          <w:sz w:val="24"/>
          <w:szCs w:val="24"/>
          <w:lang w:val="en-GB"/>
        </w:rPr>
        <w:t>last working day of the month after the end of each quarter</w:t>
      </w:r>
      <w:r w:rsidRPr="00760F3B">
        <w:rPr>
          <w:rFonts w:ascii="Times New Roman" w:hAnsi="Times New Roman"/>
          <w:sz w:val="24"/>
          <w:szCs w:val="24"/>
          <w:lang w:val="en-GB"/>
        </w:rPr>
        <w:t>, whereas semi-annual report</w:t>
      </w:r>
      <w:r w:rsidR="00851779">
        <w:rPr>
          <w:rFonts w:ascii="Times New Roman" w:hAnsi="Times New Roman"/>
          <w:sz w:val="24"/>
          <w:szCs w:val="24"/>
          <w:lang w:val="en-GB"/>
        </w:rPr>
        <w:t>ing template</w:t>
      </w:r>
      <w:r w:rsidRPr="00760F3B">
        <w:rPr>
          <w:rFonts w:ascii="Times New Roman" w:hAnsi="Times New Roman"/>
          <w:sz w:val="24"/>
          <w:szCs w:val="24"/>
          <w:lang w:val="en-GB"/>
        </w:rPr>
        <w:t xml:space="preserve">s are to be sent by the last working day of the </w:t>
      </w:r>
      <w:r w:rsidRPr="00760F3B">
        <w:rPr>
          <w:rFonts w:ascii="Times New Roman" w:hAnsi="Times New Roman"/>
          <w:b/>
          <w:color w:val="003199"/>
          <w:sz w:val="24"/>
          <w:szCs w:val="24"/>
          <w:lang w:val="en-GB"/>
        </w:rPr>
        <w:t>third month after the end of the calendar half-year</w:t>
      </w:r>
      <w:r w:rsidRPr="00760F3B">
        <w:rPr>
          <w:rFonts w:ascii="Times New Roman" w:hAnsi="Times New Roman"/>
          <w:sz w:val="24"/>
          <w:szCs w:val="24"/>
          <w:lang w:val="en-GB"/>
        </w:rPr>
        <w:t>.</w:t>
      </w:r>
    </w:p>
    <w:p w14:paraId="6BB474C1" w14:textId="77777777" w:rsidR="00591697" w:rsidRPr="00760F3B" w:rsidRDefault="00591697" w:rsidP="00BE6FDA">
      <w:pPr>
        <w:pStyle w:val="Heading2"/>
        <w:spacing w:before="360" w:after="120" w:line="360" w:lineRule="auto"/>
        <w:ind w:left="714" w:hanging="357"/>
        <w:jc w:val="both"/>
        <w:rPr>
          <w:rFonts w:ascii="Times New Roman" w:hAnsi="Times New Roman" w:cs="Times New Roman"/>
          <w:color w:val="003199"/>
          <w:sz w:val="28"/>
          <w:szCs w:val="28"/>
          <w:lang w:val="en-GB"/>
        </w:rPr>
      </w:pPr>
      <w:bookmarkStart w:id="6" w:name="_Toc221126441"/>
      <w:r w:rsidRPr="00760F3B">
        <w:rPr>
          <w:rFonts w:ascii="Times New Roman" w:hAnsi="Times New Roman" w:cs="Times New Roman"/>
          <w:color w:val="003199"/>
          <w:sz w:val="28"/>
          <w:szCs w:val="28"/>
          <w:lang w:val="en-GB"/>
        </w:rPr>
        <w:t>Level of reporting and ECB data transmission</w:t>
      </w:r>
      <w:bookmarkEnd w:id="6"/>
    </w:p>
    <w:p w14:paraId="04EFF066" w14:textId="77777777" w:rsidR="00591697" w:rsidRPr="00760F3B" w:rsidRDefault="00DA28E7" w:rsidP="00760F3B">
      <w:pPr>
        <w:spacing w:before="60" w:after="12" w:line="360" w:lineRule="auto"/>
        <w:jc w:val="both"/>
        <w:rPr>
          <w:rFonts w:ascii="Times New Roman" w:hAnsi="Times New Roman"/>
          <w:sz w:val="24"/>
          <w:szCs w:val="24"/>
          <w:lang w:val="en-US"/>
        </w:rPr>
      </w:pPr>
      <w:r>
        <w:rPr>
          <w:rFonts w:ascii="Times New Roman" w:hAnsi="Times New Roman"/>
          <w:sz w:val="24"/>
          <w:szCs w:val="24"/>
          <w:lang w:val="en-GB"/>
        </w:rPr>
        <w:t xml:space="preserve">The </w:t>
      </w:r>
      <w:r w:rsidR="00591697" w:rsidRPr="00760F3B">
        <w:rPr>
          <w:rFonts w:ascii="Times New Roman" w:hAnsi="Times New Roman"/>
          <w:sz w:val="24"/>
          <w:szCs w:val="24"/>
          <w:lang w:val="en-GB"/>
        </w:rPr>
        <w:t>CBC shall manage harmonised data collections at national level. Each Reporting Agent shall submit statistical data on a quarter and semi-annual basis to the CBC.</w:t>
      </w:r>
      <w:r w:rsidR="006A146B">
        <w:rPr>
          <w:rFonts w:ascii="Times New Roman" w:hAnsi="Times New Roman"/>
          <w:sz w:val="24"/>
          <w:szCs w:val="24"/>
          <w:lang w:val="en-GB"/>
        </w:rPr>
        <w:t xml:space="preserve"> </w:t>
      </w:r>
      <w:r>
        <w:rPr>
          <w:rFonts w:ascii="Times New Roman" w:hAnsi="Times New Roman"/>
          <w:sz w:val="24"/>
          <w:szCs w:val="24"/>
          <w:lang w:val="en-GB"/>
        </w:rPr>
        <w:t xml:space="preserve">The </w:t>
      </w:r>
      <w:r w:rsidR="006A146B">
        <w:rPr>
          <w:rFonts w:ascii="Times New Roman" w:hAnsi="Times New Roman"/>
          <w:sz w:val="24"/>
          <w:szCs w:val="24"/>
          <w:lang w:val="en-GB"/>
        </w:rPr>
        <w:t xml:space="preserve">ECB shall receive only </w:t>
      </w:r>
      <w:r w:rsidR="00591697" w:rsidRPr="00760F3B">
        <w:rPr>
          <w:rFonts w:ascii="Times New Roman" w:hAnsi="Times New Roman"/>
          <w:b/>
          <w:color w:val="003199"/>
          <w:sz w:val="24"/>
          <w:szCs w:val="24"/>
          <w:lang w:val="en-GB"/>
        </w:rPr>
        <w:t>aggregated national data</w:t>
      </w:r>
      <w:r w:rsidR="00591697" w:rsidRPr="00760F3B">
        <w:rPr>
          <w:rFonts w:ascii="Times New Roman" w:hAnsi="Times New Roman"/>
          <w:sz w:val="24"/>
          <w:szCs w:val="24"/>
          <w:lang w:val="en-GB"/>
        </w:rPr>
        <w:t xml:space="preserve"> </w:t>
      </w:r>
      <w:r w:rsidR="006A146B">
        <w:rPr>
          <w:rFonts w:ascii="Times New Roman" w:hAnsi="Times New Roman"/>
          <w:sz w:val="24"/>
          <w:szCs w:val="24"/>
          <w:lang w:val="en-GB"/>
        </w:rPr>
        <w:t>by the CBC</w:t>
      </w:r>
      <w:r w:rsidR="00591697" w:rsidRPr="00760F3B">
        <w:rPr>
          <w:rFonts w:ascii="Times New Roman" w:hAnsi="Times New Roman"/>
          <w:sz w:val="24"/>
          <w:szCs w:val="24"/>
          <w:lang w:val="en-GB"/>
        </w:rPr>
        <w:t>.</w:t>
      </w:r>
      <w:r w:rsidR="006A146B">
        <w:rPr>
          <w:rFonts w:ascii="Times New Roman" w:hAnsi="Times New Roman"/>
          <w:sz w:val="24"/>
          <w:szCs w:val="24"/>
          <w:lang w:val="en-GB"/>
        </w:rPr>
        <w:t xml:space="preserve"> </w:t>
      </w:r>
      <w:r>
        <w:rPr>
          <w:rFonts w:ascii="Times New Roman" w:hAnsi="Times New Roman"/>
          <w:sz w:val="24"/>
          <w:szCs w:val="24"/>
          <w:lang w:val="en-GB"/>
        </w:rPr>
        <w:t xml:space="preserve">The </w:t>
      </w:r>
      <w:r w:rsidR="00591697" w:rsidRPr="00760F3B">
        <w:rPr>
          <w:rFonts w:ascii="Times New Roman" w:hAnsi="Times New Roman"/>
          <w:sz w:val="24"/>
          <w:szCs w:val="24"/>
          <w:lang w:val="en-US"/>
        </w:rPr>
        <w:t xml:space="preserve">ECB shall </w:t>
      </w:r>
      <w:r w:rsidR="006A146B">
        <w:rPr>
          <w:rFonts w:ascii="Times New Roman" w:hAnsi="Times New Roman"/>
          <w:sz w:val="24"/>
          <w:szCs w:val="24"/>
          <w:lang w:val="en-US"/>
        </w:rPr>
        <w:t xml:space="preserve">then </w:t>
      </w:r>
      <w:r w:rsidR="00591697" w:rsidRPr="00760F3B">
        <w:rPr>
          <w:rFonts w:ascii="Times New Roman" w:hAnsi="Times New Roman"/>
          <w:sz w:val="24"/>
          <w:szCs w:val="24"/>
          <w:lang w:val="en-US"/>
        </w:rPr>
        <w:t>compile the statistical information at European Union and euro area levels, and individually, for each member state of the European Union.</w:t>
      </w:r>
    </w:p>
    <w:p w14:paraId="03E63C45" w14:textId="77777777" w:rsidR="00591697" w:rsidRPr="00760F3B" w:rsidRDefault="00591697" w:rsidP="00BE6FDA">
      <w:pPr>
        <w:pStyle w:val="Heading2"/>
        <w:spacing w:before="360" w:after="120" w:line="360" w:lineRule="auto"/>
        <w:ind w:left="714" w:hanging="357"/>
        <w:jc w:val="both"/>
        <w:rPr>
          <w:rFonts w:ascii="Times New Roman" w:hAnsi="Times New Roman" w:cs="Times New Roman"/>
          <w:color w:val="003199"/>
          <w:sz w:val="28"/>
          <w:szCs w:val="28"/>
          <w:lang w:val="en-GB"/>
        </w:rPr>
      </w:pPr>
      <w:bookmarkStart w:id="7" w:name="_Reporting_requirements"/>
      <w:bookmarkStart w:id="8" w:name="_Toc221126442"/>
      <w:bookmarkEnd w:id="7"/>
      <w:r w:rsidRPr="00760F3B">
        <w:rPr>
          <w:rFonts w:ascii="Times New Roman" w:hAnsi="Times New Roman" w:cs="Times New Roman"/>
          <w:color w:val="003199"/>
          <w:sz w:val="28"/>
          <w:szCs w:val="28"/>
          <w:lang w:val="en-GB"/>
        </w:rPr>
        <w:lastRenderedPageBreak/>
        <w:t>Reporting requirements</w:t>
      </w:r>
      <w:bookmarkEnd w:id="8"/>
      <w:r w:rsidRPr="00760F3B">
        <w:rPr>
          <w:rFonts w:ascii="Times New Roman" w:hAnsi="Times New Roman" w:cs="Times New Roman"/>
          <w:color w:val="003199"/>
          <w:sz w:val="28"/>
          <w:szCs w:val="28"/>
          <w:lang w:val="en-GB"/>
        </w:rPr>
        <w:t xml:space="preserve"> </w:t>
      </w:r>
    </w:p>
    <w:p w14:paraId="6492AB24" w14:textId="6A0B98D9" w:rsidR="004C5C9A"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Statistical information shall be reported to the CBC using standardised reporting templates</w:t>
      </w:r>
      <w:r w:rsidR="004A2529">
        <w:rPr>
          <w:rFonts w:ascii="Times New Roman" w:hAnsi="Times New Roman"/>
          <w:sz w:val="24"/>
          <w:szCs w:val="24"/>
          <w:lang w:val="en-GB"/>
        </w:rPr>
        <w:t xml:space="preserve"> in excel format</w:t>
      </w:r>
      <w:r w:rsidRPr="00760F3B">
        <w:rPr>
          <w:rFonts w:ascii="Times New Roman" w:hAnsi="Times New Roman"/>
          <w:sz w:val="24"/>
          <w:szCs w:val="24"/>
          <w:lang w:val="en-GB"/>
        </w:rPr>
        <w:t xml:space="preserve">. The statistical information contained therein is </w:t>
      </w:r>
      <w:r w:rsidR="00FE0876">
        <w:rPr>
          <w:rFonts w:ascii="Times New Roman" w:hAnsi="Times New Roman"/>
          <w:sz w:val="24"/>
          <w:szCs w:val="24"/>
          <w:lang w:val="en-GB"/>
        </w:rPr>
        <w:t>outlined in Figure 1</w:t>
      </w:r>
      <w:r w:rsidRPr="00760F3B">
        <w:rPr>
          <w:rFonts w:ascii="Times New Roman" w:hAnsi="Times New Roman"/>
          <w:sz w:val="24"/>
          <w:szCs w:val="24"/>
          <w:lang w:val="en-GB"/>
        </w:rPr>
        <w:t xml:space="preserve">. </w:t>
      </w:r>
      <w:r w:rsidR="00A53465">
        <w:rPr>
          <w:rFonts w:ascii="Times New Roman" w:hAnsi="Times New Roman"/>
          <w:sz w:val="24"/>
          <w:szCs w:val="24"/>
          <w:lang w:val="en-GB"/>
        </w:rPr>
        <w:t xml:space="preserve">Indicatively, </w:t>
      </w:r>
      <w:r w:rsidR="004A2529">
        <w:rPr>
          <w:rFonts w:ascii="Times New Roman" w:hAnsi="Times New Roman"/>
          <w:sz w:val="24"/>
          <w:szCs w:val="24"/>
          <w:lang w:val="en-GB"/>
        </w:rPr>
        <w:t xml:space="preserve">Tables </w:t>
      </w:r>
      <w:r w:rsidR="00190B2C">
        <w:rPr>
          <w:rFonts w:ascii="Times New Roman" w:hAnsi="Times New Roman"/>
          <w:sz w:val="24"/>
          <w:szCs w:val="24"/>
          <w:lang w:val="en-GB"/>
        </w:rPr>
        <w:t xml:space="preserve">1, </w:t>
      </w:r>
      <w:r w:rsidR="004A2529">
        <w:rPr>
          <w:rFonts w:ascii="Times New Roman" w:hAnsi="Times New Roman"/>
          <w:sz w:val="24"/>
          <w:szCs w:val="24"/>
          <w:lang w:val="en-GB"/>
        </w:rPr>
        <w:t>2, 3, 4a,</w:t>
      </w:r>
      <w:r w:rsidR="00D97ED8">
        <w:rPr>
          <w:rFonts w:ascii="Times New Roman" w:hAnsi="Times New Roman"/>
          <w:sz w:val="24"/>
          <w:szCs w:val="24"/>
          <w:lang w:val="en-GB"/>
        </w:rPr>
        <w:t xml:space="preserve"> 5a,</w:t>
      </w:r>
      <w:r w:rsidRPr="00760F3B">
        <w:rPr>
          <w:rFonts w:ascii="Times New Roman" w:hAnsi="Times New Roman"/>
          <w:sz w:val="24"/>
          <w:szCs w:val="24"/>
          <w:lang w:val="en-GB"/>
        </w:rPr>
        <w:t xml:space="preserve"> 6 and 9 should be </w:t>
      </w:r>
      <w:r w:rsidRPr="00760F3B">
        <w:rPr>
          <w:rFonts w:ascii="Times New Roman" w:hAnsi="Times New Roman"/>
          <w:b/>
          <w:color w:val="003199"/>
          <w:sz w:val="24"/>
          <w:szCs w:val="24"/>
          <w:lang w:val="en-GB"/>
        </w:rPr>
        <w:t>reported by PSPs</w:t>
      </w:r>
      <w:r w:rsidRPr="00760F3B">
        <w:rPr>
          <w:rFonts w:ascii="Times New Roman" w:hAnsi="Times New Roman"/>
          <w:sz w:val="24"/>
          <w:szCs w:val="24"/>
          <w:lang w:val="en-GB"/>
        </w:rPr>
        <w:t xml:space="preserve">, while Tables 7 and 8 should be reported </w:t>
      </w:r>
      <w:r w:rsidRPr="00760F3B">
        <w:rPr>
          <w:rFonts w:ascii="Times New Roman" w:hAnsi="Times New Roman"/>
          <w:b/>
          <w:color w:val="003199"/>
          <w:sz w:val="24"/>
          <w:szCs w:val="24"/>
          <w:lang w:val="en-GB"/>
        </w:rPr>
        <w:t>by PSOs</w:t>
      </w:r>
      <w:r w:rsidRPr="00760F3B">
        <w:rPr>
          <w:rFonts w:ascii="Times New Roman" w:hAnsi="Times New Roman"/>
          <w:sz w:val="24"/>
          <w:szCs w:val="24"/>
          <w:lang w:val="en-GB"/>
        </w:rPr>
        <w:t>.</w:t>
      </w:r>
      <w:r w:rsidR="00AC3FB5">
        <w:rPr>
          <w:rFonts w:ascii="Times New Roman" w:hAnsi="Times New Roman"/>
          <w:sz w:val="24"/>
          <w:szCs w:val="24"/>
          <w:lang w:val="en-GB"/>
        </w:rPr>
        <w:t xml:space="preserve"> </w:t>
      </w:r>
      <w:r w:rsidR="004C5C9A">
        <w:rPr>
          <w:rFonts w:ascii="Times New Roman" w:hAnsi="Times New Roman"/>
          <w:sz w:val="24"/>
          <w:szCs w:val="24"/>
          <w:lang w:val="en-GB"/>
        </w:rPr>
        <w:t xml:space="preserve">It is noted that Tables B and C are solely addressed to the operations of the CBC, and not to the operations of the </w:t>
      </w:r>
      <w:r w:rsidR="0074401F">
        <w:rPr>
          <w:rFonts w:ascii="Times New Roman" w:hAnsi="Times New Roman"/>
          <w:sz w:val="24"/>
          <w:szCs w:val="24"/>
          <w:lang w:val="en-GB"/>
        </w:rPr>
        <w:t>PSPs</w:t>
      </w:r>
      <w:r w:rsidR="004C5C9A">
        <w:rPr>
          <w:rFonts w:ascii="Times New Roman" w:hAnsi="Times New Roman"/>
          <w:sz w:val="24"/>
          <w:szCs w:val="24"/>
          <w:lang w:val="en-GB"/>
        </w:rPr>
        <w:t>.</w:t>
      </w:r>
      <w:r w:rsidR="0052349A">
        <w:rPr>
          <w:rFonts w:ascii="Times New Roman" w:hAnsi="Times New Roman"/>
          <w:sz w:val="24"/>
          <w:szCs w:val="24"/>
          <w:lang w:val="en-GB"/>
        </w:rPr>
        <w:t xml:space="preserve"> Therefore, Tables B and C should </w:t>
      </w:r>
      <w:r w:rsidR="0074401F">
        <w:rPr>
          <w:rFonts w:ascii="Times New Roman" w:hAnsi="Times New Roman"/>
          <w:sz w:val="24"/>
          <w:szCs w:val="24"/>
          <w:lang w:val="en-GB"/>
        </w:rPr>
        <w:t xml:space="preserve">only </w:t>
      </w:r>
      <w:r w:rsidR="0052349A">
        <w:rPr>
          <w:rFonts w:ascii="Times New Roman" w:hAnsi="Times New Roman"/>
          <w:sz w:val="24"/>
          <w:szCs w:val="24"/>
          <w:lang w:val="en-GB"/>
        </w:rPr>
        <w:t>be reported by</w:t>
      </w:r>
      <w:r w:rsidR="00B077D2">
        <w:rPr>
          <w:rFonts w:ascii="Times New Roman" w:hAnsi="Times New Roman"/>
          <w:sz w:val="24"/>
          <w:szCs w:val="24"/>
          <w:lang w:val="en-GB"/>
        </w:rPr>
        <w:t xml:space="preserve"> the</w:t>
      </w:r>
      <w:r w:rsidR="0052349A">
        <w:rPr>
          <w:rFonts w:ascii="Times New Roman" w:hAnsi="Times New Roman"/>
          <w:sz w:val="24"/>
          <w:szCs w:val="24"/>
          <w:lang w:val="en-GB"/>
        </w:rPr>
        <w:t xml:space="preserve"> CBC.</w:t>
      </w:r>
      <w:r w:rsidR="004C5C9A">
        <w:rPr>
          <w:rFonts w:ascii="Times New Roman" w:hAnsi="Times New Roman"/>
          <w:sz w:val="24"/>
          <w:szCs w:val="24"/>
          <w:lang w:val="en-GB"/>
        </w:rPr>
        <w:t xml:space="preserve"> </w:t>
      </w:r>
    </w:p>
    <w:p w14:paraId="32A2D3EC" w14:textId="1E0B1B84" w:rsidR="00591697" w:rsidRDefault="0052349A" w:rsidP="00760F3B">
      <w:pPr>
        <w:spacing w:before="60" w:after="12" w:line="360" w:lineRule="auto"/>
        <w:jc w:val="both"/>
        <w:rPr>
          <w:rFonts w:ascii="Times New Roman" w:hAnsi="Times New Roman"/>
          <w:sz w:val="24"/>
          <w:szCs w:val="24"/>
          <w:lang w:val="en-GB"/>
        </w:rPr>
      </w:pPr>
      <w:r>
        <w:rPr>
          <w:rFonts w:ascii="Times New Roman" w:hAnsi="Times New Roman"/>
          <w:sz w:val="24"/>
          <w:szCs w:val="24"/>
          <w:lang w:val="en-GB"/>
        </w:rPr>
        <w:t>F</w:t>
      </w:r>
      <w:r w:rsidR="00930FBF">
        <w:rPr>
          <w:rFonts w:ascii="Times New Roman" w:hAnsi="Times New Roman"/>
          <w:sz w:val="24"/>
          <w:szCs w:val="24"/>
          <w:lang w:val="en-GB"/>
        </w:rPr>
        <w:t>or the collection of the statistical information</w:t>
      </w:r>
      <w:r w:rsidR="00EE0BA1">
        <w:rPr>
          <w:rFonts w:ascii="Times New Roman" w:hAnsi="Times New Roman"/>
          <w:sz w:val="24"/>
          <w:szCs w:val="24"/>
          <w:lang w:val="en-GB"/>
        </w:rPr>
        <w:t xml:space="preserve">, </w:t>
      </w:r>
      <w:r w:rsidR="009E0CD8">
        <w:rPr>
          <w:rFonts w:ascii="Times New Roman" w:hAnsi="Times New Roman"/>
          <w:sz w:val="24"/>
          <w:szCs w:val="24"/>
          <w:lang w:val="en-GB"/>
        </w:rPr>
        <w:t>reporting agents should complete</w:t>
      </w:r>
      <w:r>
        <w:rPr>
          <w:rFonts w:ascii="Times New Roman" w:hAnsi="Times New Roman"/>
          <w:sz w:val="24"/>
          <w:szCs w:val="24"/>
          <w:lang w:val="en-GB"/>
        </w:rPr>
        <w:t xml:space="preserve"> three reporting templates </w:t>
      </w:r>
      <w:r w:rsidR="00EA32BF">
        <w:rPr>
          <w:rFonts w:ascii="Times New Roman" w:hAnsi="Times New Roman"/>
          <w:sz w:val="24"/>
          <w:szCs w:val="24"/>
          <w:lang w:val="en-GB"/>
        </w:rPr>
        <w:t>two</w:t>
      </w:r>
      <w:r w:rsidR="00EE0BA1">
        <w:rPr>
          <w:rFonts w:ascii="Times New Roman" w:hAnsi="Times New Roman"/>
          <w:sz w:val="24"/>
          <w:szCs w:val="24"/>
          <w:lang w:val="en-GB"/>
        </w:rPr>
        <w:t xml:space="preserve"> for the semi-annual reporting, and </w:t>
      </w:r>
      <w:r w:rsidR="000A3F52">
        <w:rPr>
          <w:rFonts w:ascii="Times New Roman" w:hAnsi="Times New Roman"/>
          <w:sz w:val="24"/>
          <w:szCs w:val="24"/>
          <w:lang w:val="en-GB"/>
        </w:rPr>
        <w:t xml:space="preserve">one </w:t>
      </w:r>
      <w:r w:rsidR="00EE0BA1">
        <w:rPr>
          <w:rFonts w:ascii="Times New Roman" w:hAnsi="Times New Roman"/>
          <w:sz w:val="24"/>
          <w:szCs w:val="24"/>
          <w:lang w:val="en-GB"/>
        </w:rPr>
        <w:t>for the quarterly reporting.</w:t>
      </w:r>
      <w:r w:rsidR="00317FAC">
        <w:rPr>
          <w:rFonts w:ascii="Times New Roman" w:hAnsi="Times New Roman"/>
          <w:sz w:val="24"/>
          <w:szCs w:val="24"/>
          <w:lang w:val="en-GB"/>
        </w:rPr>
        <w:t xml:space="preserve"> </w:t>
      </w:r>
      <w:r w:rsidR="00317FAC" w:rsidRPr="00317FAC">
        <w:rPr>
          <w:rFonts w:ascii="Times New Roman" w:hAnsi="Times New Roman"/>
          <w:sz w:val="24"/>
          <w:szCs w:val="24"/>
          <w:lang w:val="en-GB"/>
        </w:rPr>
        <w:t>The semi-annual reporting templates includes information on Tables 1, 2, 3, 4a, 5a, 6, 7, 8, B and C whereas the quarterly reporting template includes information on Table 9.</w:t>
      </w:r>
    </w:p>
    <w:p w14:paraId="2BA8C8B2" w14:textId="77777777" w:rsidR="004A2529" w:rsidRDefault="004A2529" w:rsidP="00EE0BA1">
      <w:pPr>
        <w:jc w:val="both"/>
        <w:rPr>
          <w:rFonts w:ascii="Times New Roman" w:hAnsi="Times New Roman"/>
          <w:b/>
          <w:lang w:val="en-GB"/>
        </w:rPr>
      </w:pPr>
    </w:p>
    <w:p w14:paraId="052824D7" w14:textId="77777777" w:rsidR="00591697" w:rsidRPr="00FE0876" w:rsidRDefault="00FE0876" w:rsidP="00FE0876">
      <w:pPr>
        <w:spacing w:after="12" w:line="360" w:lineRule="auto"/>
        <w:jc w:val="both"/>
        <w:rPr>
          <w:rFonts w:ascii="Times New Roman" w:hAnsi="Times New Roman"/>
          <w:b/>
          <w:lang w:val="en-GB"/>
        </w:rPr>
      </w:pPr>
      <w:r w:rsidRPr="00FE0876">
        <w:rPr>
          <w:rFonts w:ascii="Times New Roman" w:hAnsi="Times New Roman"/>
          <w:b/>
          <w:lang w:val="en-GB"/>
        </w:rPr>
        <w:t>Figure 1</w:t>
      </w:r>
    </w:p>
    <w:p w14:paraId="701A0D37" w14:textId="77777777" w:rsidR="00FE0876" w:rsidRPr="00760F3B" w:rsidRDefault="00FE0876" w:rsidP="00FE0876">
      <w:pPr>
        <w:spacing w:after="12" w:line="360" w:lineRule="auto"/>
        <w:jc w:val="both"/>
        <w:rPr>
          <w:rFonts w:ascii="Times New Roman" w:hAnsi="Times New Roman"/>
          <w:lang w:val="en-GB"/>
        </w:rPr>
      </w:pPr>
      <w:r>
        <w:rPr>
          <w:rFonts w:ascii="Times New Roman" w:hAnsi="Times New Roman"/>
          <w:lang w:val="en-GB"/>
        </w:rPr>
        <w:t>Repo</w:t>
      </w:r>
      <w:r w:rsidR="000639FF">
        <w:rPr>
          <w:rFonts w:ascii="Times New Roman" w:hAnsi="Times New Roman"/>
          <w:lang w:val="en-GB"/>
        </w:rPr>
        <w:t>rting requirements per Reporting A</w:t>
      </w:r>
      <w:r>
        <w:rPr>
          <w:rFonts w:ascii="Times New Roman" w:hAnsi="Times New Roman"/>
          <w:lang w:val="en-GB"/>
        </w:rPr>
        <w:t>gent</w:t>
      </w:r>
    </w:p>
    <w:tbl>
      <w:tblPr>
        <w:tblW w:w="10187" w:type="dxa"/>
        <w:tblCellMar>
          <w:left w:w="0" w:type="dxa"/>
          <w:right w:w="0" w:type="dxa"/>
        </w:tblCellMar>
        <w:tblLook w:val="04A0" w:firstRow="1" w:lastRow="0" w:firstColumn="1" w:lastColumn="0" w:noHBand="0" w:noVBand="1"/>
      </w:tblPr>
      <w:tblGrid>
        <w:gridCol w:w="1482"/>
        <w:gridCol w:w="2033"/>
        <w:gridCol w:w="5287"/>
        <w:gridCol w:w="1385"/>
      </w:tblGrid>
      <w:tr w:rsidR="00286996" w:rsidRPr="00760F3B" w14:paraId="16960FA3" w14:textId="77777777" w:rsidTr="00286996">
        <w:trPr>
          <w:trHeight w:val="704"/>
        </w:trPr>
        <w:tc>
          <w:tcPr>
            <w:tcW w:w="1482" w:type="dxa"/>
            <w:tcBorders>
              <w:top w:val="single" w:sz="12" w:space="0" w:color="A5A5A5" w:themeColor="accent3"/>
              <w:left w:val="single" w:sz="12" w:space="0" w:color="A5A5A5" w:themeColor="accent3"/>
              <w:bottom w:val="single" w:sz="24" w:space="0" w:color="FFFFFF"/>
              <w:right w:val="single" w:sz="8" w:space="0" w:color="FFFFFF"/>
            </w:tcBorders>
            <w:shd w:val="clear" w:color="auto" w:fill="002060"/>
            <w:tcMar>
              <w:top w:w="15" w:type="dxa"/>
              <w:left w:w="108" w:type="dxa"/>
              <w:bottom w:w="0" w:type="dxa"/>
              <w:right w:w="108" w:type="dxa"/>
            </w:tcMar>
            <w:hideMark/>
          </w:tcPr>
          <w:p w14:paraId="3279F144" w14:textId="77777777" w:rsidR="00150608" w:rsidRPr="00354EE8" w:rsidRDefault="00150608" w:rsidP="00536116">
            <w:pPr>
              <w:ind w:left="113" w:right="113"/>
              <w:jc w:val="both"/>
              <w:rPr>
                <w:rFonts w:ascii="Times New Roman" w:hAnsi="Times New Roman"/>
                <w:sz w:val="24"/>
                <w:szCs w:val="24"/>
                <w:lang w:val="en-GB"/>
              </w:rPr>
            </w:pPr>
            <w:r w:rsidRPr="00354EE8">
              <w:rPr>
                <w:rFonts w:ascii="Times New Roman" w:hAnsi="Times New Roman"/>
                <w:b/>
                <w:bCs/>
                <w:color w:val="FFFFFF" w:themeColor="background1"/>
                <w:sz w:val="24"/>
                <w:szCs w:val="24"/>
                <w:lang w:val="en-GB"/>
              </w:rPr>
              <w:t>Reporting frequency</w:t>
            </w:r>
          </w:p>
        </w:tc>
        <w:tc>
          <w:tcPr>
            <w:tcW w:w="1908" w:type="dxa"/>
            <w:tcBorders>
              <w:top w:val="single" w:sz="12" w:space="0" w:color="A5A5A5" w:themeColor="accent3"/>
              <w:left w:val="single" w:sz="8" w:space="0" w:color="FFFFFF"/>
              <w:bottom w:val="single" w:sz="24" w:space="0" w:color="FFFFFF"/>
              <w:right w:val="single" w:sz="8" w:space="0" w:color="FFFFFF"/>
            </w:tcBorders>
            <w:shd w:val="clear" w:color="auto" w:fill="002060"/>
          </w:tcPr>
          <w:p w14:paraId="0B2981F7" w14:textId="77777777" w:rsidR="00286996" w:rsidRDefault="00150608" w:rsidP="00536116">
            <w:pPr>
              <w:ind w:left="113" w:right="113"/>
              <w:jc w:val="both"/>
              <w:rPr>
                <w:rFonts w:ascii="Times New Roman" w:hAnsi="Times New Roman"/>
                <w:b/>
                <w:bCs/>
                <w:sz w:val="24"/>
                <w:szCs w:val="24"/>
                <w:lang w:val="en-GB"/>
              </w:rPr>
            </w:pPr>
            <w:r>
              <w:rPr>
                <w:rFonts w:ascii="Times New Roman" w:hAnsi="Times New Roman"/>
                <w:b/>
                <w:bCs/>
                <w:sz w:val="24"/>
                <w:szCs w:val="24"/>
                <w:lang w:val="en-GB"/>
              </w:rPr>
              <w:t xml:space="preserve">Name of </w:t>
            </w:r>
          </w:p>
          <w:p w14:paraId="526BA66A" w14:textId="77777777" w:rsidR="00286996" w:rsidRDefault="00150608" w:rsidP="00536116">
            <w:pPr>
              <w:ind w:left="113" w:right="113"/>
              <w:jc w:val="both"/>
              <w:rPr>
                <w:rFonts w:ascii="Times New Roman" w:hAnsi="Times New Roman"/>
                <w:b/>
                <w:bCs/>
                <w:sz w:val="24"/>
                <w:szCs w:val="24"/>
                <w:lang w:val="en-GB"/>
              </w:rPr>
            </w:pPr>
            <w:r>
              <w:rPr>
                <w:rFonts w:ascii="Times New Roman" w:hAnsi="Times New Roman"/>
                <w:b/>
                <w:bCs/>
                <w:sz w:val="24"/>
                <w:szCs w:val="24"/>
                <w:lang w:val="en-GB"/>
              </w:rPr>
              <w:t xml:space="preserve">Reporting </w:t>
            </w:r>
          </w:p>
          <w:p w14:paraId="06DC0781" w14:textId="77777777" w:rsidR="00150608" w:rsidRPr="00354EE8" w:rsidRDefault="00150608" w:rsidP="00536116">
            <w:pPr>
              <w:ind w:left="113" w:right="113"/>
              <w:jc w:val="both"/>
              <w:rPr>
                <w:rFonts w:ascii="Times New Roman" w:hAnsi="Times New Roman"/>
                <w:b/>
                <w:bCs/>
                <w:sz w:val="24"/>
                <w:szCs w:val="24"/>
                <w:lang w:val="en-GB"/>
              </w:rPr>
            </w:pPr>
            <w:r>
              <w:rPr>
                <w:rFonts w:ascii="Times New Roman" w:hAnsi="Times New Roman"/>
                <w:b/>
                <w:bCs/>
                <w:sz w:val="24"/>
                <w:szCs w:val="24"/>
                <w:lang w:val="en-GB"/>
              </w:rPr>
              <w:t>template</w:t>
            </w:r>
          </w:p>
        </w:tc>
        <w:tc>
          <w:tcPr>
            <w:tcW w:w="5412" w:type="dxa"/>
            <w:tcBorders>
              <w:top w:val="single" w:sz="12" w:space="0" w:color="A5A5A5" w:themeColor="accent3"/>
              <w:left w:val="single" w:sz="8" w:space="0" w:color="FFFFFF"/>
              <w:bottom w:val="single" w:sz="24" w:space="0" w:color="FFFFFF"/>
              <w:right w:val="single" w:sz="8" w:space="0" w:color="FFFFFF"/>
            </w:tcBorders>
            <w:shd w:val="clear" w:color="auto" w:fill="002060"/>
          </w:tcPr>
          <w:p w14:paraId="42188EEB" w14:textId="77777777" w:rsidR="00150608" w:rsidRPr="00354EE8" w:rsidRDefault="00150608" w:rsidP="00536116">
            <w:pPr>
              <w:ind w:left="113" w:right="113"/>
              <w:jc w:val="both"/>
              <w:rPr>
                <w:rFonts w:ascii="Times New Roman" w:hAnsi="Times New Roman"/>
                <w:b/>
                <w:bCs/>
                <w:sz w:val="24"/>
                <w:szCs w:val="24"/>
                <w:lang w:val="en-GB"/>
              </w:rPr>
            </w:pPr>
            <w:r w:rsidRPr="00354EE8">
              <w:rPr>
                <w:rFonts w:ascii="Times New Roman" w:hAnsi="Times New Roman"/>
                <w:b/>
                <w:bCs/>
                <w:sz w:val="24"/>
                <w:szCs w:val="24"/>
                <w:lang w:val="en-GB"/>
              </w:rPr>
              <w:t>Statistical information</w:t>
            </w:r>
          </w:p>
        </w:tc>
        <w:tc>
          <w:tcPr>
            <w:tcW w:w="1385" w:type="dxa"/>
            <w:tcBorders>
              <w:top w:val="single" w:sz="12" w:space="0" w:color="A5A5A5"/>
              <w:left w:val="single" w:sz="8" w:space="0" w:color="FFFFFF"/>
              <w:bottom w:val="single" w:sz="24" w:space="0" w:color="FFFFFF"/>
              <w:right w:val="single" w:sz="12" w:space="0" w:color="A5A5A5"/>
            </w:tcBorders>
            <w:shd w:val="clear" w:color="auto" w:fill="002060"/>
          </w:tcPr>
          <w:p w14:paraId="432FA9E8" w14:textId="77777777" w:rsidR="00150608" w:rsidRPr="00354EE8" w:rsidRDefault="000639FF" w:rsidP="00536116">
            <w:pPr>
              <w:ind w:left="113" w:right="113"/>
              <w:rPr>
                <w:rFonts w:ascii="Times New Roman" w:hAnsi="Times New Roman"/>
                <w:b/>
                <w:bCs/>
                <w:sz w:val="24"/>
                <w:szCs w:val="24"/>
                <w:lang w:val="en-GB"/>
              </w:rPr>
            </w:pPr>
            <w:r>
              <w:rPr>
                <w:rFonts w:ascii="Times New Roman" w:hAnsi="Times New Roman"/>
                <w:b/>
                <w:bCs/>
                <w:sz w:val="24"/>
                <w:szCs w:val="24"/>
                <w:lang w:val="en-GB"/>
              </w:rPr>
              <w:t>Reporting A</w:t>
            </w:r>
            <w:r w:rsidR="00150608" w:rsidRPr="00354EE8">
              <w:rPr>
                <w:rFonts w:ascii="Times New Roman" w:hAnsi="Times New Roman"/>
                <w:b/>
                <w:bCs/>
                <w:sz w:val="24"/>
                <w:szCs w:val="24"/>
                <w:lang w:val="en-GB"/>
              </w:rPr>
              <w:t>gent</w:t>
            </w:r>
          </w:p>
        </w:tc>
      </w:tr>
      <w:tr w:rsidR="00286996" w:rsidRPr="00C5314E" w14:paraId="0C2FA65C" w14:textId="77777777" w:rsidTr="00286996">
        <w:trPr>
          <w:trHeight w:val="418"/>
        </w:trPr>
        <w:tc>
          <w:tcPr>
            <w:tcW w:w="1482" w:type="dxa"/>
            <w:vMerge w:val="restart"/>
            <w:tcBorders>
              <w:top w:val="single" w:sz="24" w:space="0" w:color="FFFFFF"/>
              <w:left w:val="single" w:sz="12" w:space="0" w:color="A5A5A5" w:themeColor="accent3"/>
              <w:right w:val="single" w:sz="8" w:space="0" w:color="FFFFFF"/>
            </w:tcBorders>
            <w:shd w:val="clear" w:color="auto" w:fill="D9D9D9"/>
            <w:tcMar>
              <w:top w:w="15" w:type="dxa"/>
              <w:left w:w="108" w:type="dxa"/>
              <w:bottom w:w="0" w:type="dxa"/>
              <w:right w:w="108" w:type="dxa"/>
            </w:tcMar>
          </w:tcPr>
          <w:p w14:paraId="15E29857" w14:textId="77777777" w:rsidR="00150608" w:rsidRPr="00760F3B" w:rsidRDefault="00150608" w:rsidP="00362DF9">
            <w:pPr>
              <w:spacing w:line="360" w:lineRule="auto"/>
              <w:ind w:left="113" w:right="113"/>
              <w:jc w:val="both"/>
              <w:rPr>
                <w:rFonts w:ascii="Times New Roman" w:hAnsi="Times New Roman"/>
                <w:b/>
                <w:sz w:val="24"/>
                <w:szCs w:val="24"/>
                <w:lang w:val="en-GB"/>
              </w:rPr>
            </w:pPr>
            <w:r w:rsidRPr="00760F3B">
              <w:rPr>
                <w:rFonts w:ascii="Times New Roman" w:hAnsi="Times New Roman"/>
                <w:b/>
                <w:sz w:val="24"/>
                <w:szCs w:val="24"/>
                <w:lang w:val="en-GB"/>
              </w:rPr>
              <w:t>Semi-annually</w:t>
            </w:r>
          </w:p>
        </w:tc>
        <w:tc>
          <w:tcPr>
            <w:tcW w:w="1908" w:type="dxa"/>
            <w:vMerge w:val="restart"/>
            <w:tcBorders>
              <w:top w:val="single" w:sz="24" w:space="0" w:color="FFFFFF"/>
              <w:left w:val="single" w:sz="8" w:space="0" w:color="FFFFFF"/>
              <w:right w:val="single" w:sz="8" w:space="0" w:color="FFFFFF"/>
            </w:tcBorders>
            <w:shd w:val="clear" w:color="auto" w:fill="D9D9D9"/>
          </w:tcPr>
          <w:p w14:paraId="30FAF6F5" w14:textId="77777777" w:rsidR="00286996" w:rsidRPr="00BD700D" w:rsidRDefault="00286996" w:rsidP="00190B2C">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PAYSTS2_</w:t>
            </w:r>
          </w:p>
          <w:p w14:paraId="26E0D512" w14:textId="77777777" w:rsidR="00286996" w:rsidRPr="00BD700D" w:rsidRDefault="00286996" w:rsidP="00190B2C">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MASTER_</w:t>
            </w:r>
          </w:p>
          <w:p w14:paraId="1A5AD2A2" w14:textId="77777777" w:rsidR="00286996" w:rsidRPr="00BD700D" w:rsidRDefault="00150608" w:rsidP="00190B2C">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TEMPLATE_</w:t>
            </w:r>
          </w:p>
          <w:p w14:paraId="294F4215" w14:textId="77777777" w:rsidR="00150608" w:rsidRPr="00190B2C" w:rsidRDefault="00150608" w:rsidP="00190B2C">
            <w:pPr>
              <w:spacing w:line="360" w:lineRule="auto"/>
              <w:ind w:left="113" w:right="113"/>
              <w:jc w:val="both"/>
              <w:rPr>
                <w:rFonts w:ascii="Times New Roman" w:hAnsi="Times New Roman"/>
                <w:b/>
                <w:bCs/>
                <w:color w:val="002060"/>
                <w:sz w:val="24"/>
                <w:szCs w:val="24"/>
                <w:u w:val="single"/>
                <w:lang w:val="en-GB"/>
              </w:rPr>
            </w:pPr>
            <w:r w:rsidRPr="00BD700D">
              <w:rPr>
                <w:rFonts w:ascii="Times New Roman" w:hAnsi="Times New Roman"/>
                <w:b/>
                <w:color w:val="003199"/>
                <w:sz w:val="24"/>
                <w:szCs w:val="24"/>
                <w:lang w:val="en-GB"/>
              </w:rPr>
              <w:t>SEMI-ANNUAL</w:t>
            </w:r>
          </w:p>
        </w:tc>
        <w:tc>
          <w:tcPr>
            <w:tcW w:w="5412" w:type="dxa"/>
            <w:tcBorders>
              <w:top w:val="single" w:sz="24" w:space="0" w:color="FFFFFF"/>
              <w:left w:val="single" w:sz="8" w:space="0" w:color="FFFFFF"/>
              <w:bottom w:val="single" w:sz="8" w:space="0" w:color="FFFFFF"/>
              <w:right w:val="single" w:sz="8" w:space="0" w:color="FFFFFF"/>
            </w:tcBorders>
            <w:shd w:val="clear" w:color="auto" w:fill="D9D9D9"/>
          </w:tcPr>
          <w:p w14:paraId="60A6E011" w14:textId="01BD130C" w:rsidR="00150608" w:rsidRDefault="00150608" w:rsidP="00190B2C">
            <w:pPr>
              <w:spacing w:line="360" w:lineRule="auto"/>
              <w:ind w:left="113" w:right="113"/>
              <w:jc w:val="both"/>
              <w:rPr>
                <w:rFonts w:ascii="Times New Roman" w:hAnsi="Times New Roman"/>
                <w:color w:val="002060"/>
                <w:sz w:val="24"/>
                <w:szCs w:val="24"/>
                <w:lang w:val="en-GB"/>
              </w:rPr>
            </w:pPr>
            <w:r w:rsidRPr="00190B2C">
              <w:rPr>
                <w:rFonts w:ascii="Times New Roman" w:hAnsi="Times New Roman"/>
                <w:b/>
                <w:bCs/>
                <w:color w:val="002060"/>
                <w:sz w:val="24"/>
                <w:szCs w:val="24"/>
                <w:u w:val="single"/>
                <w:lang w:val="en-GB"/>
              </w:rPr>
              <w:t>Table 1</w:t>
            </w:r>
            <w:r w:rsidRPr="00190B2C">
              <w:rPr>
                <w:rFonts w:ascii="Times New Roman" w:hAnsi="Times New Roman"/>
                <w:b/>
                <w:bCs/>
                <w:color w:val="002060"/>
                <w:sz w:val="24"/>
                <w:szCs w:val="24"/>
                <w:lang w:val="en-GB"/>
              </w:rPr>
              <w:t xml:space="preserve">: </w:t>
            </w:r>
            <w:r w:rsidRPr="00190B2C">
              <w:rPr>
                <w:rFonts w:ascii="Times New Roman" w:hAnsi="Times New Roman"/>
                <w:color w:val="002060"/>
                <w:sz w:val="24"/>
                <w:szCs w:val="24"/>
                <w:lang w:val="en-GB"/>
              </w:rPr>
              <w:t>Institutions offering payment services</w:t>
            </w:r>
            <w:r>
              <w:rPr>
                <w:rFonts w:ascii="Times New Roman" w:hAnsi="Times New Roman"/>
                <w:color w:val="002060"/>
                <w:sz w:val="24"/>
                <w:szCs w:val="24"/>
                <w:lang w:val="en-GB"/>
              </w:rPr>
              <w:t xml:space="preserve"> </w:t>
            </w:r>
            <w:r w:rsidRPr="00190B2C">
              <w:rPr>
                <w:rFonts w:ascii="Times New Roman" w:hAnsi="Times New Roman"/>
                <w:color w:val="002060"/>
                <w:sz w:val="24"/>
                <w:szCs w:val="24"/>
                <w:lang w:val="en-GB"/>
              </w:rPr>
              <w:t>to non-monetary financial</w:t>
            </w:r>
            <w:r>
              <w:rPr>
                <w:rFonts w:ascii="Times New Roman" w:hAnsi="Times New Roman"/>
                <w:color w:val="002060"/>
                <w:sz w:val="24"/>
                <w:szCs w:val="24"/>
                <w:lang w:val="en-GB"/>
              </w:rPr>
              <w:t xml:space="preserve"> </w:t>
            </w:r>
            <w:r w:rsidRPr="00190B2C">
              <w:rPr>
                <w:rFonts w:ascii="Times New Roman" w:hAnsi="Times New Roman"/>
                <w:color w:val="002060"/>
                <w:sz w:val="24"/>
                <w:szCs w:val="24"/>
                <w:lang w:val="en-GB"/>
              </w:rPr>
              <w:t>institutions</w:t>
            </w:r>
            <w:bookmarkStart w:id="9" w:name="_Ref88719588"/>
            <w:r w:rsidR="005B5890" w:rsidRPr="005B5890">
              <w:rPr>
                <w:rStyle w:val="FootnoteReference"/>
                <w:rFonts w:ascii="Times New Roman" w:hAnsi="Times New Roman"/>
                <w:color w:val="002060"/>
                <w:sz w:val="24"/>
                <w:szCs w:val="24"/>
                <w:lang w:val="en-GB"/>
              </w:rPr>
              <w:footnoteReference w:id="2"/>
            </w:r>
            <w:bookmarkEnd w:id="9"/>
            <w:r w:rsidRPr="005B5890">
              <w:rPr>
                <w:rFonts w:ascii="Times New Roman" w:hAnsi="Times New Roman"/>
                <w:color w:val="002060"/>
                <w:sz w:val="24"/>
                <w:szCs w:val="24"/>
                <w:lang w:val="en-GB"/>
              </w:rPr>
              <w:t xml:space="preserve"> </w:t>
            </w:r>
            <w:r w:rsidRPr="00190B2C">
              <w:rPr>
                <w:rFonts w:ascii="Times New Roman" w:hAnsi="Times New Roman"/>
                <w:color w:val="002060"/>
                <w:sz w:val="24"/>
                <w:szCs w:val="24"/>
                <w:lang w:val="en-GB"/>
              </w:rPr>
              <w:t>(non-MFIs)</w:t>
            </w:r>
          </w:p>
          <w:p w14:paraId="4D9060C4" w14:textId="1F76E31F" w:rsidR="00CD6079" w:rsidRPr="00CD6079" w:rsidRDefault="00CD6079" w:rsidP="00190B2C">
            <w:pPr>
              <w:spacing w:line="360" w:lineRule="auto"/>
              <w:ind w:left="113" w:right="113"/>
              <w:jc w:val="both"/>
              <w:rPr>
                <w:rFonts w:ascii="Times New Roman" w:hAnsi="Times New Roman"/>
                <w:b/>
                <w:color w:val="002060"/>
                <w:sz w:val="24"/>
                <w:szCs w:val="24"/>
                <w:lang w:val="en-GB"/>
              </w:rPr>
            </w:pPr>
            <w:r w:rsidRPr="00A02346">
              <w:rPr>
                <w:rFonts w:ascii="Times New Roman" w:hAnsi="Times New Roman"/>
                <w:b/>
                <w:i/>
                <w:color w:val="ED7D31" w:themeColor="accent2"/>
                <w:lang w:val="en-GB"/>
              </w:rPr>
              <w:t>(refers to worksheets 1.1-1.3)</w:t>
            </w:r>
          </w:p>
          <w:p w14:paraId="7CEECE1B" w14:textId="77777777" w:rsidR="00150608" w:rsidRPr="00A6368E" w:rsidRDefault="00150608" w:rsidP="00CE42FF">
            <w:pPr>
              <w:spacing w:line="360" w:lineRule="auto"/>
              <w:ind w:left="113" w:right="113"/>
              <w:jc w:val="both"/>
              <w:rPr>
                <w:rFonts w:ascii="Times New Roman" w:hAnsi="Times New Roman"/>
                <w:b/>
                <w:bCs/>
                <w:color w:val="002060"/>
                <w:sz w:val="24"/>
                <w:szCs w:val="24"/>
                <w:u w:val="single"/>
                <w:lang w:val="en-GB"/>
              </w:rPr>
            </w:pPr>
            <w:r w:rsidRPr="00A6368E">
              <w:rPr>
                <w:rFonts w:ascii="Times New Roman" w:hAnsi="Times New Roman"/>
                <w:i/>
                <w:sz w:val="24"/>
                <w:szCs w:val="24"/>
                <w:lang w:val="en-GB"/>
              </w:rPr>
              <w:t xml:space="preserve">Includes breakdowns showing </w:t>
            </w:r>
            <w:r w:rsidRPr="00A6368E">
              <w:rPr>
                <w:rFonts w:ascii="Times New Roman" w:hAnsi="Times New Roman"/>
                <w:b/>
                <w:i/>
                <w:color w:val="002060"/>
                <w:sz w:val="24"/>
                <w:szCs w:val="24"/>
                <w:lang w:val="en-GB"/>
              </w:rPr>
              <w:t>number of overnight deposits</w:t>
            </w:r>
            <w:r w:rsidRPr="00A6368E">
              <w:rPr>
                <w:rFonts w:ascii="Times New Roman" w:hAnsi="Times New Roman"/>
                <w:i/>
                <w:sz w:val="24"/>
                <w:szCs w:val="24"/>
                <w:lang w:val="en-GB"/>
              </w:rPr>
              <w:t xml:space="preserve">, </w:t>
            </w:r>
            <w:r w:rsidRPr="00A6368E">
              <w:rPr>
                <w:rFonts w:ascii="Times New Roman" w:hAnsi="Times New Roman"/>
                <w:b/>
                <w:i/>
                <w:color w:val="002060"/>
                <w:sz w:val="24"/>
                <w:szCs w:val="24"/>
                <w:lang w:val="en-GB"/>
              </w:rPr>
              <w:t>number of payment accounts</w:t>
            </w:r>
            <w:r w:rsidRPr="00A6368E">
              <w:rPr>
                <w:rFonts w:ascii="Times New Roman" w:hAnsi="Times New Roman"/>
                <w:i/>
                <w:sz w:val="24"/>
                <w:szCs w:val="24"/>
                <w:lang w:val="en-GB"/>
              </w:rPr>
              <w:t xml:space="preserve">, </w:t>
            </w:r>
            <w:r w:rsidRPr="00A6368E">
              <w:rPr>
                <w:rFonts w:ascii="Times New Roman" w:hAnsi="Times New Roman"/>
                <w:b/>
                <w:i/>
                <w:color w:val="002060"/>
                <w:sz w:val="24"/>
                <w:szCs w:val="24"/>
                <w:lang w:val="en-GB"/>
              </w:rPr>
              <w:t>number of e-money accounts</w:t>
            </w:r>
            <w:r w:rsidRPr="00A6368E">
              <w:rPr>
                <w:rFonts w:ascii="Times New Roman" w:hAnsi="Times New Roman"/>
                <w:i/>
                <w:sz w:val="24"/>
                <w:szCs w:val="24"/>
                <w:lang w:val="en-GB"/>
              </w:rPr>
              <w:t xml:space="preserve"> and </w:t>
            </w:r>
            <w:r w:rsidRPr="00A6368E">
              <w:rPr>
                <w:rFonts w:ascii="Times New Roman" w:hAnsi="Times New Roman"/>
                <w:b/>
                <w:i/>
                <w:color w:val="002060"/>
                <w:sz w:val="24"/>
                <w:szCs w:val="24"/>
                <w:lang w:val="en-GB"/>
              </w:rPr>
              <w:t>outstanding value on e-money storages issued</w:t>
            </w:r>
            <w:r w:rsidRPr="00A6368E">
              <w:rPr>
                <w:rFonts w:ascii="Times New Roman" w:hAnsi="Times New Roman"/>
                <w:i/>
                <w:sz w:val="24"/>
                <w:szCs w:val="24"/>
                <w:lang w:val="en-GB"/>
              </w:rPr>
              <w:t>. In</w:t>
            </w:r>
            <w:r>
              <w:rPr>
                <w:rFonts w:ascii="Times New Roman" w:hAnsi="Times New Roman"/>
                <w:i/>
                <w:sz w:val="24"/>
                <w:szCs w:val="24"/>
                <w:lang w:val="en-GB"/>
              </w:rPr>
              <w:t xml:space="preserve"> </w:t>
            </w:r>
            <w:r w:rsidRPr="00A6368E">
              <w:rPr>
                <w:rFonts w:ascii="Times New Roman" w:hAnsi="Times New Roman"/>
                <w:i/>
                <w:sz w:val="24"/>
                <w:szCs w:val="24"/>
                <w:lang w:val="en-GB"/>
              </w:rPr>
              <w:t xml:space="preserve">addition, breakdowns showing the </w:t>
            </w:r>
            <w:r w:rsidRPr="00A6368E">
              <w:rPr>
                <w:rFonts w:ascii="Times New Roman" w:hAnsi="Times New Roman"/>
                <w:b/>
                <w:i/>
                <w:color w:val="002060"/>
                <w:sz w:val="24"/>
                <w:szCs w:val="24"/>
                <w:lang w:val="en-GB"/>
              </w:rPr>
              <w:t>number of clients of account information service providers (AISPs)</w:t>
            </w:r>
            <w:r w:rsidRPr="00A6368E">
              <w:rPr>
                <w:rFonts w:ascii="Times New Roman" w:hAnsi="Times New Roman"/>
                <w:i/>
                <w:sz w:val="24"/>
                <w:szCs w:val="24"/>
                <w:lang w:val="en-GB"/>
              </w:rPr>
              <w:t xml:space="preserve"> and the </w:t>
            </w:r>
            <w:r w:rsidRPr="00A6368E">
              <w:rPr>
                <w:rFonts w:ascii="Times New Roman" w:hAnsi="Times New Roman"/>
                <w:b/>
                <w:i/>
                <w:color w:val="002060"/>
                <w:sz w:val="24"/>
                <w:szCs w:val="24"/>
                <w:lang w:val="en-GB"/>
              </w:rPr>
              <w:t>number of accounts accessed by AISPs</w:t>
            </w:r>
            <w:r w:rsidRPr="00A6368E">
              <w:rPr>
                <w:rFonts w:ascii="Times New Roman" w:hAnsi="Times New Roman"/>
                <w:i/>
                <w:sz w:val="24"/>
                <w:szCs w:val="24"/>
                <w:lang w:val="en-GB"/>
              </w:rPr>
              <w:t xml:space="preserve"> are</w:t>
            </w:r>
            <w:r>
              <w:rPr>
                <w:rFonts w:ascii="Times New Roman" w:hAnsi="Times New Roman"/>
                <w:i/>
                <w:sz w:val="24"/>
                <w:szCs w:val="24"/>
                <w:lang w:val="en-GB"/>
              </w:rPr>
              <w:t xml:space="preserve"> </w:t>
            </w:r>
            <w:r w:rsidRPr="00A6368E">
              <w:rPr>
                <w:rFonts w:ascii="Times New Roman" w:hAnsi="Times New Roman"/>
                <w:i/>
                <w:sz w:val="24"/>
                <w:szCs w:val="24"/>
                <w:lang w:val="en-GB"/>
              </w:rPr>
              <w:t xml:space="preserve">included. The </w:t>
            </w:r>
            <w:r w:rsidRPr="00A6368E">
              <w:rPr>
                <w:rFonts w:ascii="Times New Roman" w:hAnsi="Times New Roman"/>
                <w:b/>
                <w:i/>
                <w:color w:val="002060"/>
                <w:sz w:val="24"/>
                <w:szCs w:val="24"/>
                <w:lang w:val="en-GB"/>
              </w:rPr>
              <w:t>number of accounts accessed by AISPs</w:t>
            </w:r>
            <w:r w:rsidRPr="00A6368E">
              <w:rPr>
                <w:rFonts w:ascii="Times New Roman" w:hAnsi="Times New Roman"/>
                <w:i/>
                <w:sz w:val="24"/>
                <w:szCs w:val="24"/>
                <w:lang w:val="en-GB"/>
              </w:rPr>
              <w:t xml:space="preserve"> is reported by the ASPSP</w:t>
            </w:r>
            <w:r>
              <w:rPr>
                <w:rFonts w:ascii="Times New Roman" w:hAnsi="Times New Roman"/>
                <w:i/>
                <w:sz w:val="24"/>
                <w:szCs w:val="24"/>
                <w:lang w:val="en-GB"/>
              </w:rPr>
              <w:t xml:space="preserve"> </w:t>
            </w:r>
            <w:r w:rsidRPr="00A6368E">
              <w:rPr>
                <w:rFonts w:ascii="Times New Roman" w:hAnsi="Times New Roman"/>
                <w:i/>
                <w:sz w:val="24"/>
                <w:szCs w:val="24"/>
                <w:lang w:val="en-GB"/>
              </w:rPr>
              <w:t xml:space="preserve">while the AISPs report the </w:t>
            </w:r>
            <w:r w:rsidRPr="00A6368E">
              <w:rPr>
                <w:rFonts w:ascii="Times New Roman" w:hAnsi="Times New Roman"/>
                <w:b/>
                <w:i/>
                <w:color w:val="002060"/>
                <w:sz w:val="24"/>
                <w:szCs w:val="24"/>
                <w:lang w:val="en-GB"/>
              </w:rPr>
              <w:t>number of their clients</w:t>
            </w:r>
            <w:r w:rsidRPr="00A6368E">
              <w:rPr>
                <w:rFonts w:ascii="Times New Roman" w:hAnsi="Times New Roman"/>
                <w:i/>
                <w:sz w:val="24"/>
                <w:szCs w:val="24"/>
                <w:lang w:val="en-GB"/>
              </w:rPr>
              <w:t>.</w:t>
            </w:r>
          </w:p>
        </w:tc>
        <w:tc>
          <w:tcPr>
            <w:tcW w:w="1385" w:type="dxa"/>
            <w:tcBorders>
              <w:top w:val="single" w:sz="24" w:space="0" w:color="FFFFFF"/>
              <w:left w:val="single" w:sz="8" w:space="0" w:color="FFFFFF"/>
              <w:bottom w:val="single" w:sz="8" w:space="0" w:color="FFFFFF"/>
              <w:right w:val="single" w:sz="12" w:space="0" w:color="A5A5A5" w:themeColor="accent3"/>
            </w:tcBorders>
            <w:shd w:val="clear" w:color="auto" w:fill="D9D9D9"/>
          </w:tcPr>
          <w:p w14:paraId="7065CB28" w14:textId="77777777" w:rsidR="00150608" w:rsidRPr="00354EE8" w:rsidRDefault="00150608" w:rsidP="00AD738E">
            <w:pPr>
              <w:autoSpaceDE w:val="0"/>
              <w:autoSpaceDN w:val="0"/>
              <w:adjustRightInd w:val="0"/>
              <w:spacing w:line="360" w:lineRule="auto"/>
              <w:ind w:left="113" w:right="113"/>
              <w:rPr>
                <w:rFonts w:ascii="Times New Roman" w:hAnsi="Times New Roman"/>
                <w:b/>
                <w:color w:val="002060"/>
                <w:sz w:val="24"/>
                <w:szCs w:val="24"/>
                <w:lang w:val="en-GB"/>
              </w:rPr>
            </w:pPr>
            <w:r>
              <w:rPr>
                <w:rFonts w:ascii="Times New Roman" w:hAnsi="Times New Roman"/>
                <w:b/>
                <w:color w:val="002060"/>
                <w:sz w:val="24"/>
                <w:szCs w:val="24"/>
                <w:lang w:val="en-GB"/>
              </w:rPr>
              <w:t>T</w:t>
            </w:r>
            <w:r w:rsidRPr="00354EE8">
              <w:rPr>
                <w:rFonts w:ascii="Times New Roman" w:hAnsi="Times New Roman"/>
                <w:b/>
                <w:color w:val="002060"/>
                <w:sz w:val="24"/>
                <w:szCs w:val="24"/>
                <w:lang w:val="en-GB"/>
              </w:rPr>
              <w:t>he CY PSP that</w:t>
            </w:r>
            <w:r>
              <w:rPr>
                <w:rFonts w:ascii="Times New Roman" w:hAnsi="Times New Roman"/>
                <w:b/>
                <w:color w:val="002060"/>
                <w:sz w:val="24"/>
                <w:szCs w:val="24"/>
                <w:lang w:val="en-GB"/>
              </w:rPr>
              <w:t xml:space="preserve"> holds payment accounts</w:t>
            </w:r>
          </w:p>
        </w:tc>
      </w:tr>
      <w:tr w:rsidR="00286996" w:rsidRPr="00C5314E" w14:paraId="3EB6AC28" w14:textId="77777777" w:rsidTr="00286996">
        <w:trPr>
          <w:trHeight w:val="418"/>
        </w:trPr>
        <w:tc>
          <w:tcPr>
            <w:tcW w:w="1482" w:type="dxa"/>
            <w:vMerge/>
            <w:tcBorders>
              <w:left w:val="single" w:sz="12" w:space="0" w:color="A5A5A5" w:themeColor="accent3"/>
              <w:right w:val="single" w:sz="8" w:space="0" w:color="FFFFFF"/>
            </w:tcBorders>
            <w:shd w:val="clear" w:color="auto" w:fill="D9D9D9"/>
            <w:tcMar>
              <w:top w:w="15" w:type="dxa"/>
              <w:left w:w="108" w:type="dxa"/>
              <w:bottom w:w="0" w:type="dxa"/>
              <w:right w:w="108" w:type="dxa"/>
            </w:tcMar>
          </w:tcPr>
          <w:p w14:paraId="1B0DCF65" w14:textId="77777777" w:rsidR="00150608" w:rsidRPr="00190B2C" w:rsidRDefault="00150608" w:rsidP="00362DF9">
            <w:pPr>
              <w:spacing w:line="360" w:lineRule="auto"/>
              <w:ind w:left="113" w:right="113"/>
              <w:jc w:val="both"/>
              <w:rPr>
                <w:rFonts w:ascii="Times New Roman" w:hAnsi="Times New Roman"/>
                <w:b/>
                <w:sz w:val="24"/>
                <w:szCs w:val="24"/>
                <w:lang w:val="en-GB"/>
              </w:rPr>
            </w:pPr>
          </w:p>
        </w:tc>
        <w:tc>
          <w:tcPr>
            <w:tcW w:w="1908" w:type="dxa"/>
            <w:vMerge/>
            <w:tcBorders>
              <w:left w:val="single" w:sz="8" w:space="0" w:color="FFFFFF"/>
              <w:right w:val="single" w:sz="8" w:space="0" w:color="FFFFFF"/>
            </w:tcBorders>
            <w:shd w:val="clear" w:color="auto" w:fill="D9D9D9"/>
          </w:tcPr>
          <w:p w14:paraId="7BDA2377" w14:textId="77777777" w:rsidR="00150608" w:rsidRPr="00354EE8" w:rsidRDefault="00150608" w:rsidP="00362DF9">
            <w:pPr>
              <w:spacing w:line="360" w:lineRule="auto"/>
              <w:ind w:left="113" w:right="113"/>
              <w:jc w:val="both"/>
              <w:rPr>
                <w:rFonts w:ascii="Times New Roman" w:hAnsi="Times New Roman"/>
                <w:b/>
                <w:bCs/>
                <w:color w:val="002060"/>
                <w:sz w:val="24"/>
                <w:szCs w:val="24"/>
                <w:u w:val="single"/>
                <w:lang w:val="en-GB"/>
              </w:rPr>
            </w:pPr>
          </w:p>
        </w:tc>
        <w:tc>
          <w:tcPr>
            <w:tcW w:w="5412" w:type="dxa"/>
            <w:tcBorders>
              <w:top w:val="single" w:sz="24" w:space="0" w:color="FFFFFF"/>
              <w:left w:val="single" w:sz="8" w:space="0" w:color="FFFFFF"/>
              <w:bottom w:val="single" w:sz="8" w:space="0" w:color="FFFFFF"/>
              <w:right w:val="single" w:sz="8" w:space="0" w:color="FFFFFF"/>
            </w:tcBorders>
            <w:shd w:val="clear" w:color="auto" w:fill="D9D9D9"/>
          </w:tcPr>
          <w:p w14:paraId="1CE79508" w14:textId="7A10980E" w:rsidR="00CD6079" w:rsidRPr="00A02346" w:rsidRDefault="00150608" w:rsidP="00CD6079">
            <w:pPr>
              <w:spacing w:line="360" w:lineRule="auto"/>
              <w:ind w:left="113" w:right="113"/>
              <w:jc w:val="both"/>
              <w:rPr>
                <w:rFonts w:ascii="Times New Roman" w:hAnsi="Times New Roman"/>
                <w:b/>
                <w:color w:val="ED7D31" w:themeColor="accent2"/>
                <w:sz w:val="24"/>
                <w:szCs w:val="24"/>
                <w:lang w:val="en-GB"/>
              </w:rPr>
            </w:pPr>
            <w:r w:rsidRPr="00354EE8">
              <w:rPr>
                <w:rFonts w:ascii="Times New Roman" w:hAnsi="Times New Roman"/>
                <w:b/>
                <w:bCs/>
                <w:color w:val="002060"/>
                <w:sz w:val="24"/>
                <w:szCs w:val="24"/>
                <w:u w:val="single"/>
                <w:lang w:val="en-GB"/>
              </w:rPr>
              <w:t>Table 2</w:t>
            </w:r>
            <w:r w:rsidRPr="00354EE8">
              <w:rPr>
                <w:rFonts w:ascii="Times New Roman" w:hAnsi="Times New Roman"/>
                <w:b/>
                <w:bCs/>
                <w:color w:val="002060"/>
                <w:sz w:val="24"/>
                <w:szCs w:val="24"/>
                <w:lang w:val="en-GB"/>
              </w:rPr>
              <w:t xml:space="preserve">: </w:t>
            </w:r>
            <w:r w:rsidRPr="00354EE8">
              <w:rPr>
                <w:rFonts w:ascii="Times New Roman" w:hAnsi="Times New Roman"/>
                <w:color w:val="002060"/>
                <w:sz w:val="24"/>
                <w:szCs w:val="24"/>
                <w:lang w:val="en-GB"/>
              </w:rPr>
              <w:t>Card functions</w:t>
            </w:r>
            <w:r w:rsidR="00A02346">
              <w:rPr>
                <w:rFonts w:ascii="Times New Roman" w:hAnsi="Times New Roman"/>
                <w:color w:val="002060"/>
                <w:sz w:val="24"/>
                <w:szCs w:val="24"/>
                <w:lang w:val="en-GB"/>
              </w:rPr>
              <w:t xml:space="preserve"> </w:t>
            </w:r>
            <w:r w:rsidR="00CD6079" w:rsidRPr="00A02346">
              <w:rPr>
                <w:rFonts w:ascii="Times New Roman" w:hAnsi="Times New Roman"/>
                <w:b/>
                <w:i/>
                <w:color w:val="ED7D31" w:themeColor="accent2"/>
                <w:lang w:val="en-GB"/>
              </w:rPr>
              <w:t>(refers to worksheet 2)</w:t>
            </w:r>
          </w:p>
          <w:p w14:paraId="6D6AAE55" w14:textId="77777777" w:rsidR="00150608" w:rsidRPr="0053166A" w:rsidRDefault="00150608" w:rsidP="00362DF9">
            <w:pPr>
              <w:spacing w:line="360" w:lineRule="auto"/>
              <w:ind w:left="113" w:right="113"/>
              <w:jc w:val="both"/>
              <w:rPr>
                <w:rFonts w:ascii="Times New Roman" w:hAnsi="Times New Roman"/>
                <w:i/>
                <w:color w:val="003199"/>
                <w:sz w:val="24"/>
                <w:szCs w:val="24"/>
                <w:lang w:val="en-GB"/>
              </w:rPr>
            </w:pPr>
            <w:r>
              <w:rPr>
                <w:rFonts w:ascii="Times New Roman" w:hAnsi="Times New Roman"/>
                <w:i/>
                <w:sz w:val="24"/>
                <w:szCs w:val="24"/>
                <w:lang w:val="en-GB"/>
              </w:rPr>
              <w:lastRenderedPageBreak/>
              <w:t>I</w:t>
            </w:r>
            <w:r w:rsidRPr="0053166A">
              <w:rPr>
                <w:rFonts w:ascii="Times New Roman" w:hAnsi="Times New Roman"/>
                <w:i/>
                <w:sz w:val="24"/>
                <w:szCs w:val="24"/>
                <w:lang w:val="en-GB"/>
              </w:rPr>
              <w:t xml:space="preserve">ncludes the </w:t>
            </w:r>
            <w:r w:rsidRPr="00354EE8">
              <w:rPr>
                <w:rFonts w:ascii="Times New Roman" w:hAnsi="Times New Roman"/>
                <w:b/>
                <w:i/>
                <w:color w:val="002060"/>
                <w:sz w:val="24"/>
                <w:szCs w:val="24"/>
                <w:lang w:val="en-GB"/>
              </w:rPr>
              <w:t>number of cards</w:t>
            </w:r>
            <w:r w:rsidRPr="00354EE8">
              <w:rPr>
                <w:rFonts w:ascii="Times New Roman" w:hAnsi="Times New Roman"/>
                <w:i/>
                <w:color w:val="002060"/>
                <w:sz w:val="24"/>
                <w:szCs w:val="24"/>
                <w:lang w:val="en-GB"/>
              </w:rPr>
              <w:t xml:space="preserve"> </w:t>
            </w:r>
            <w:r w:rsidRPr="0053166A">
              <w:rPr>
                <w:rFonts w:ascii="Times New Roman" w:hAnsi="Times New Roman"/>
                <w:i/>
                <w:sz w:val="24"/>
                <w:szCs w:val="24"/>
                <w:lang w:val="en-GB"/>
              </w:rPr>
              <w:t xml:space="preserve">issued by PSPs resident in the country. Data on cards are compiled with a breakdown </w:t>
            </w:r>
            <w:r w:rsidRPr="00354EE8">
              <w:rPr>
                <w:rFonts w:ascii="Times New Roman" w:hAnsi="Times New Roman"/>
                <w:b/>
                <w:i/>
                <w:color w:val="002060"/>
                <w:sz w:val="24"/>
                <w:szCs w:val="24"/>
                <w:lang w:val="en-GB"/>
              </w:rPr>
              <w:t>by function of the card</w:t>
            </w:r>
            <w:r w:rsidRPr="0053166A">
              <w:rPr>
                <w:rFonts w:ascii="Times New Roman" w:hAnsi="Times New Roman"/>
                <w:i/>
                <w:sz w:val="24"/>
                <w:szCs w:val="24"/>
                <w:lang w:val="en-GB"/>
              </w:rPr>
              <w:t xml:space="preserve"> and within the function of the card with a </w:t>
            </w:r>
            <w:r w:rsidRPr="00354EE8">
              <w:rPr>
                <w:rFonts w:ascii="Times New Roman" w:hAnsi="Times New Roman"/>
                <w:b/>
                <w:i/>
                <w:color w:val="002060"/>
                <w:sz w:val="24"/>
                <w:szCs w:val="24"/>
                <w:lang w:val="en-GB"/>
              </w:rPr>
              <w:t>breakdown by card scheme</w:t>
            </w:r>
            <w:r w:rsidRPr="0053166A">
              <w:rPr>
                <w:rFonts w:ascii="Times New Roman" w:hAnsi="Times New Roman"/>
                <w:i/>
                <w:sz w:val="24"/>
                <w:szCs w:val="24"/>
                <w:lang w:val="en-GB"/>
              </w:rPr>
              <w:t>.</w:t>
            </w:r>
          </w:p>
        </w:tc>
        <w:tc>
          <w:tcPr>
            <w:tcW w:w="1385" w:type="dxa"/>
            <w:tcBorders>
              <w:top w:val="single" w:sz="24" w:space="0" w:color="FFFFFF"/>
              <w:left w:val="single" w:sz="8" w:space="0" w:color="FFFFFF"/>
              <w:bottom w:val="single" w:sz="8" w:space="0" w:color="FFFFFF"/>
              <w:right w:val="single" w:sz="12" w:space="0" w:color="A5A5A5" w:themeColor="accent3"/>
            </w:tcBorders>
            <w:shd w:val="clear" w:color="auto" w:fill="D9D9D9"/>
          </w:tcPr>
          <w:p w14:paraId="30AED88F" w14:textId="77777777" w:rsidR="00150608" w:rsidRPr="00354EE8" w:rsidRDefault="00150608" w:rsidP="00AD738E">
            <w:pPr>
              <w:autoSpaceDE w:val="0"/>
              <w:autoSpaceDN w:val="0"/>
              <w:adjustRightInd w:val="0"/>
              <w:spacing w:line="360" w:lineRule="auto"/>
              <w:ind w:left="113" w:right="113"/>
              <w:rPr>
                <w:rFonts w:ascii="Times New Roman" w:hAnsi="Times New Roman"/>
                <w:b/>
                <w:color w:val="002060"/>
                <w:sz w:val="24"/>
                <w:szCs w:val="24"/>
                <w:lang w:val="en-GB"/>
              </w:rPr>
            </w:pPr>
            <w:r>
              <w:rPr>
                <w:rFonts w:ascii="Times New Roman" w:hAnsi="Times New Roman"/>
                <w:b/>
                <w:color w:val="002060"/>
                <w:sz w:val="24"/>
                <w:szCs w:val="24"/>
                <w:lang w:val="en-GB"/>
              </w:rPr>
              <w:lastRenderedPageBreak/>
              <w:t>T</w:t>
            </w:r>
            <w:r w:rsidRPr="00354EE8">
              <w:rPr>
                <w:rFonts w:ascii="Times New Roman" w:hAnsi="Times New Roman"/>
                <w:b/>
                <w:color w:val="002060"/>
                <w:sz w:val="24"/>
                <w:szCs w:val="24"/>
                <w:lang w:val="en-GB"/>
              </w:rPr>
              <w:t xml:space="preserve">he CY PSP that </w:t>
            </w:r>
            <w:r w:rsidRPr="00354EE8">
              <w:rPr>
                <w:rFonts w:ascii="Times New Roman" w:hAnsi="Times New Roman"/>
                <w:b/>
                <w:color w:val="002060"/>
                <w:sz w:val="24"/>
                <w:szCs w:val="24"/>
                <w:lang w:val="en-GB"/>
              </w:rPr>
              <w:lastRenderedPageBreak/>
              <w:t>issues cards</w:t>
            </w:r>
            <w:r w:rsidRPr="00354EE8">
              <w:rPr>
                <w:rStyle w:val="FootnoteReference"/>
                <w:rFonts w:ascii="Times New Roman" w:hAnsi="Times New Roman"/>
                <w:b/>
                <w:color w:val="002060"/>
                <w:sz w:val="24"/>
                <w:szCs w:val="24"/>
                <w:lang w:val="en-GB"/>
              </w:rPr>
              <w:footnoteReference w:id="3"/>
            </w:r>
          </w:p>
        </w:tc>
      </w:tr>
      <w:tr w:rsidR="00286996" w:rsidRPr="00C5314E" w14:paraId="0B6DC43A" w14:textId="77777777" w:rsidTr="00286996">
        <w:trPr>
          <w:trHeight w:val="355"/>
        </w:trPr>
        <w:tc>
          <w:tcPr>
            <w:tcW w:w="1482" w:type="dxa"/>
            <w:vMerge/>
            <w:tcBorders>
              <w:left w:val="single" w:sz="12" w:space="0" w:color="A5A5A5" w:themeColor="accent3"/>
              <w:right w:val="single" w:sz="8" w:space="0" w:color="FFFFFF"/>
            </w:tcBorders>
            <w:shd w:val="clear" w:color="auto" w:fill="D9D9D9"/>
            <w:tcMar>
              <w:top w:w="15" w:type="dxa"/>
              <w:left w:w="108" w:type="dxa"/>
              <w:bottom w:w="0" w:type="dxa"/>
              <w:right w:w="108" w:type="dxa"/>
            </w:tcMar>
          </w:tcPr>
          <w:p w14:paraId="00F75BF1" w14:textId="77777777" w:rsidR="00150608" w:rsidRPr="00760F3B" w:rsidRDefault="00150608" w:rsidP="00362DF9">
            <w:pPr>
              <w:spacing w:line="360" w:lineRule="auto"/>
              <w:ind w:left="113" w:right="113"/>
              <w:jc w:val="both"/>
              <w:rPr>
                <w:rFonts w:ascii="Times New Roman" w:hAnsi="Times New Roman"/>
                <w:b/>
                <w:sz w:val="24"/>
                <w:szCs w:val="24"/>
                <w:lang w:val="en-GB"/>
              </w:rPr>
            </w:pPr>
          </w:p>
        </w:tc>
        <w:tc>
          <w:tcPr>
            <w:tcW w:w="1908" w:type="dxa"/>
            <w:vMerge/>
            <w:tcBorders>
              <w:left w:val="single" w:sz="8" w:space="0" w:color="FFFFFF"/>
              <w:right w:val="single" w:sz="8" w:space="0" w:color="FFFFFF"/>
            </w:tcBorders>
            <w:shd w:val="clear" w:color="auto" w:fill="D9D9D9"/>
          </w:tcPr>
          <w:p w14:paraId="2C8EE520" w14:textId="77777777" w:rsidR="00150608" w:rsidRPr="00354EE8" w:rsidRDefault="00150608" w:rsidP="00362DF9">
            <w:pPr>
              <w:spacing w:line="360" w:lineRule="auto"/>
              <w:ind w:left="113" w:right="113"/>
              <w:jc w:val="both"/>
              <w:rPr>
                <w:rFonts w:ascii="Times New Roman" w:hAnsi="Times New Roman"/>
                <w:b/>
                <w:bCs/>
                <w:color w:val="002060"/>
                <w:sz w:val="24"/>
                <w:szCs w:val="24"/>
                <w:u w:val="single"/>
                <w:lang w:val="en-GB"/>
              </w:rPr>
            </w:pPr>
          </w:p>
        </w:tc>
        <w:tc>
          <w:tcPr>
            <w:tcW w:w="5412" w:type="dxa"/>
            <w:tcBorders>
              <w:top w:val="single" w:sz="24" w:space="0" w:color="FFFFFF"/>
              <w:left w:val="single" w:sz="8" w:space="0" w:color="FFFFFF"/>
              <w:bottom w:val="single" w:sz="8" w:space="0" w:color="FFFFFF"/>
              <w:right w:val="single" w:sz="8" w:space="0" w:color="FFFFFF"/>
            </w:tcBorders>
            <w:shd w:val="clear" w:color="auto" w:fill="D9D9D9"/>
          </w:tcPr>
          <w:p w14:paraId="30D6D43E" w14:textId="77777777" w:rsidR="00284306" w:rsidRDefault="00150608" w:rsidP="00CD6079">
            <w:pPr>
              <w:spacing w:line="360" w:lineRule="auto"/>
              <w:ind w:left="113" w:right="113"/>
              <w:jc w:val="both"/>
              <w:rPr>
                <w:rFonts w:ascii="Times New Roman" w:hAnsi="Times New Roman"/>
                <w:color w:val="002060"/>
                <w:sz w:val="24"/>
                <w:szCs w:val="24"/>
                <w:lang w:val="en-GB"/>
              </w:rPr>
            </w:pPr>
            <w:r w:rsidRPr="00354EE8">
              <w:rPr>
                <w:rFonts w:ascii="Times New Roman" w:hAnsi="Times New Roman"/>
                <w:b/>
                <w:bCs/>
                <w:color w:val="002060"/>
                <w:sz w:val="24"/>
                <w:szCs w:val="24"/>
                <w:u w:val="single"/>
                <w:lang w:val="en-GB"/>
              </w:rPr>
              <w:t>Table 3</w:t>
            </w:r>
            <w:r w:rsidRPr="00354EE8">
              <w:rPr>
                <w:rFonts w:ascii="Times New Roman" w:hAnsi="Times New Roman"/>
                <w:b/>
                <w:bCs/>
                <w:color w:val="002060"/>
                <w:sz w:val="24"/>
                <w:szCs w:val="24"/>
                <w:lang w:val="en-GB"/>
              </w:rPr>
              <w:t xml:space="preserve">: </w:t>
            </w:r>
            <w:r w:rsidRPr="00354EE8">
              <w:rPr>
                <w:rFonts w:ascii="Times New Roman" w:hAnsi="Times New Roman"/>
                <w:color w:val="002060"/>
                <w:sz w:val="24"/>
                <w:szCs w:val="24"/>
                <w:lang w:val="en-GB"/>
              </w:rPr>
              <w:t>Card accepting devices</w:t>
            </w:r>
            <w:r w:rsidR="00A02346">
              <w:rPr>
                <w:rFonts w:ascii="Times New Roman" w:hAnsi="Times New Roman"/>
                <w:color w:val="002060"/>
                <w:sz w:val="24"/>
                <w:szCs w:val="24"/>
                <w:lang w:val="en-GB"/>
              </w:rPr>
              <w:t xml:space="preserve"> </w:t>
            </w:r>
          </w:p>
          <w:p w14:paraId="7D3EA27A" w14:textId="10E80A10" w:rsidR="00CD6079" w:rsidRPr="00A02346" w:rsidRDefault="00CD6079" w:rsidP="00CD6079">
            <w:pPr>
              <w:spacing w:line="360" w:lineRule="auto"/>
              <w:ind w:left="113" w:right="113"/>
              <w:jc w:val="both"/>
              <w:rPr>
                <w:rFonts w:ascii="Times New Roman" w:hAnsi="Times New Roman"/>
                <w:b/>
                <w:color w:val="ED7D31" w:themeColor="accent2"/>
                <w:sz w:val="24"/>
                <w:szCs w:val="24"/>
                <w:lang w:val="en-GB"/>
              </w:rPr>
            </w:pPr>
            <w:r w:rsidRPr="00A02346">
              <w:rPr>
                <w:rFonts w:ascii="Times New Roman" w:hAnsi="Times New Roman"/>
                <w:b/>
                <w:i/>
                <w:color w:val="ED7D31" w:themeColor="accent2"/>
                <w:lang w:val="en-GB"/>
              </w:rPr>
              <w:t>(refers to worksheet 3)</w:t>
            </w:r>
          </w:p>
          <w:p w14:paraId="6054C96F" w14:textId="77777777" w:rsidR="00150608" w:rsidRPr="00D7525F" w:rsidRDefault="00150608" w:rsidP="00EE0BA1">
            <w:pPr>
              <w:spacing w:line="360" w:lineRule="auto"/>
              <w:ind w:left="113" w:right="113"/>
              <w:jc w:val="both"/>
              <w:rPr>
                <w:rFonts w:ascii="Times New Roman" w:hAnsi="Times New Roman"/>
                <w:b/>
                <w:bCs/>
                <w:i/>
                <w:color w:val="003199"/>
                <w:sz w:val="24"/>
                <w:szCs w:val="24"/>
                <w:u w:val="single"/>
                <w:lang w:val="en-GB"/>
              </w:rPr>
            </w:pPr>
            <w:r>
              <w:rPr>
                <w:rFonts w:ascii="Times New Roman" w:hAnsi="Times New Roman"/>
                <w:i/>
                <w:sz w:val="24"/>
                <w:szCs w:val="24"/>
                <w:lang w:val="en-GB"/>
              </w:rPr>
              <w:t>I</w:t>
            </w:r>
            <w:r w:rsidRPr="00D7525F">
              <w:rPr>
                <w:rFonts w:ascii="Times New Roman" w:hAnsi="Times New Roman"/>
                <w:i/>
                <w:sz w:val="24"/>
                <w:szCs w:val="24"/>
                <w:lang w:val="en-GB"/>
              </w:rPr>
              <w:t xml:space="preserve">ncludes the </w:t>
            </w:r>
            <w:r w:rsidRPr="00354EE8">
              <w:rPr>
                <w:rFonts w:ascii="Times New Roman" w:hAnsi="Times New Roman"/>
                <w:b/>
                <w:i/>
                <w:color w:val="002060"/>
                <w:sz w:val="24"/>
                <w:szCs w:val="24"/>
                <w:lang w:val="en-GB"/>
              </w:rPr>
              <w:t>number of terminals</w:t>
            </w:r>
            <w:r w:rsidRPr="00354EE8">
              <w:rPr>
                <w:rFonts w:ascii="Times New Roman" w:hAnsi="Times New Roman"/>
                <w:i/>
                <w:color w:val="002060"/>
                <w:sz w:val="24"/>
                <w:szCs w:val="24"/>
                <w:lang w:val="en-GB"/>
              </w:rPr>
              <w:t xml:space="preserve"> </w:t>
            </w:r>
            <w:r w:rsidRPr="00D7525F">
              <w:rPr>
                <w:rFonts w:ascii="Times New Roman" w:hAnsi="Times New Roman"/>
                <w:i/>
                <w:sz w:val="24"/>
                <w:szCs w:val="24"/>
                <w:lang w:val="en-GB"/>
              </w:rPr>
              <w:t xml:space="preserve">provided by PSPs resident in the country. Data on terminals distinguish between </w:t>
            </w:r>
            <w:r w:rsidRPr="00354EE8">
              <w:rPr>
                <w:rFonts w:ascii="Times New Roman" w:hAnsi="Times New Roman"/>
                <w:b/>
                <w:i/>
                <w:color w:val="002060"/>
                <w:sz w:val="24"/>
                <w:szCs w:val="24"/>
                <w:lang w:val="en-GB"/>
              </w:rPr>
              <w:t>ATMs</w:t>
            </w:r>
            <w:r w:rsidRPr="00D7525F">
              <w:rPr>
                <w:rFonts w:ascii="Times New Roman" w:hAnsi="Times New Roman"/>
                <w:i/>
                <w:sz w:val="24"/>
                <w:szCs w:val="24"/>
                <w:lang w:val="en-GB"/>
              </w:rPr>
              <w:t>, point-of-sale (</w:t>
            </w:r>
            <w:r w:rsidRPr="00354EE8">
              <w:rPr>
                <w:rFonts w:ascii="Times New Roman" w:hAnsi="Times New Roman"/>
                <w:b/>
                <w:i/>
                <w:color w:val="002060"/>
                <w:sz w:val="24"/>
                <w:szCs w:val="24"/>
                <w:lang w:val="en-GB"/>
              </w:rPr>
              <w:t>POS</w:t>
            </w:r>
            <w:r w:rsidRPr="00D7525F">
              <w:rPr>
                <w:rFonts w:ascii="Times New Roman" w:hAnsi="Times New Roman"/>
                <w:i/>
                <w:sz w:val="24"/>
                <w:szCs w:val="24"/>
                <w:lang w:val="en-GB"/>
              </w:rPr>
              <w:t xml:space="preserve">) and </w:t>
            </w:r>
            <w:r w:rsidRPr="00354EE8">
              <w:rPr>
                <w:rFonts w:ascii="Times New Roman" w:hAnsi="Times New Roman"/>
                <w:b/>
                <w:i/>
                <w:color w:val="002060"/>
                <w:sz w:val="24"/>
                <w:szCs w:val="24"/>
                <w:lang w:val="en-GB"/>
              </w:rPr>
              <w:t xml:space="preserve">e-money card </w:t>
            </w:r>
            <w:r w:rsidRPr="009E2B18">
              <w:rPr>
                <w:rFonts w:ascii="Times New Roman" w:hAnsi="Times New Roman"/>
                <w:b/>
                <w:i/>
                <w:color w:val="002060"/>
                <w:sz w:val="24"/>
                <w:szCs w:val="24"/>
                <w:lang w:val="en-GB"/>
              </w:rPr>
              <w:t>terminals</w:t>
            </w:r>
            <w:r w:rsidRPr="009E2B18">
              <w:rPr>
                <w:rFonts w:ascii="Times New Roman" w:hAnsi="Times New Roman"/>
                <w:i/>
                <w:color w:val="002060"/>
                <w:sz w:val="24"/>
                <w:szCs w:val="24"/>
                <w:lang w:val="en-GB"/>
              </w:rPr>
              <w:t xml:space="preserve"> </w:t>
            </w:r>
            <w:r w:rsidRPr="009E2B18">
              <w:rPr>
                <w:rFonts w:ascii="Times New Roman" w:hAnsi="Times New Roman"/>
                <w:i/>
                <w:sz w:val="24"/>
                <w:szCs w:val="24"/>
                <w:lang w:val="en-GB"/>
              </w:rPr>
              <w:t>and</w:t>
            </w:r>
            <w:r w:rsidRPr="009E2B18">
              <w:rPr>
                <w:rFonts w:ascii="Times New Roman" w:hAnsi="Times New Roman"/>
                <w:i/>
                <w:color w:val="002060"/>
                <w:sz w:val="24"/>
                <w:szCs w:val="24"/>
                <w:lang w:val="en-GB"/>
              </w:rPr>
              <w:t xml:space="preserve"> are further broken down </w:t>
            </w:r>
            <w:r w:rsidRPr="009E2B18">
              <w:rPr>
                <w:rFonts w:ascii="Times New Roman" w:hAnsi="Times New Roman"/>
                <w:b/>
                <w:i/>
                <w:color w:val="002060"/>
                <w:sz w:val="24"/>
                <w:szCs w:val="24"/>
                <w:lang w:val="en-GB"/>
              </w:rPr>
              <w:t>by the terminal function</w:t>
            </w:r>
            <w:r w:rsidRPr="009E2B18">
              <w:rPr>
                <w:rFonts w:ascii="Times New Roman" w:hAnsi="Times New Roman"/>
                <w:i/>
                <w:sz w:val="24"/>
                <w:szCs w:val="24"/>
                <w:lang w:val="en-GB"/>
              </w:rPr>
              <w:t>.</w:t>
            </w:r>
          </w:p>
        </w:tc>
        <w:tc>
          <w:tcPr>
            <w:tcW w:w="1385" w:type="dxa"/>
            <w:tcBorders>
              <w:top w:val="single" w:sz="24" w:space="0" w:color="FFFFFF"/>
              <w:left w:val="single" w:sz="8" w:space="0" w:color="FFFFFF"/>
              <w:bottom w:val="single" w:sz="8" w:space="0" w:color="FFFFFF"/>
              <w:right w:val="single" w:sz="12" w:space="0" w:color="A5A5A5" w:themeColor="accent3"/>
            </w:tcBorders>
            <w:shd w:val="clear" w:color="auto" w:fill="D9D9D9"/>
          </w:tcPr>
          <w:p w14:paraId="2FC09DAD" w14:textId="77777777" w:rsidR="00150608" w:rsidRPr="00354EE8" w:rsidRDefault="00150608" w:rsidP="00AD738E">
            <w:pPr>
              <w:spacing w:line="360" w:lineRule="auto"/>
              <w:ind w:left="113" w:right="113"/>
              <w:rPr>
                <w:rFonts w:ascii="Times New Roman" w:hAnsi="Times New Roman"/>
                <w:b/>
                <w:bCs/>
                <w:color w:val="002060"/>
                <w:sz w:val="24"/>
                <w:szCs w:val="24"/>
                <w:u w:val="single"/>
                <w:lang w:val="en-GB"/>
              </w:rPr>
            </w:pPr>
            <w:r>
              <w:rPr>
                <w:rFonts w:ascii="Times New Roman" w:hAnsi="Times New Roman"/>
                <w:b/>
                <w:color w:val="002060"/>
                <w:sz w:val="24"/>
                <w:szCs w:val="24"/>
                <w:lang w:val="en-GB"/>
              </w:rPr>
              <w:t>T</w:t>
            </w:r>
            <w:r w:rsidRPr="00354EE8">
              <w:rPr>
                <w:rFonts w:ascii="Times New Roman" w:hAnsi="Times New Roman"/>
                <w:b/>
                <w:color w:val="002060"/>
                <w:sz w:val="24"/>
                <w:szCs w:val="24"/>
                <w:lang w:val="en-GB"/>
              </w:rPr>
              <w:t>he CY PSP that provides terminals</w:t>
            </w:r>
            <w:r w:rsidRPr="00354EE8">
              <w:rPr>
                <w:rStyle w:val="FootnoteReference"/>
                <w:rFonts w:ascii="Times New Roman" w:hAnsi="Times New Roman"/>
                <w:b/>
                <w:color w:val="002060"/>
                <w:sz w:val="24"/>
                <w:szCs w:val="24"/>
                <w:lang w:val="en-GB"/>
              </w:rPr>
              <w:footnoteReference w:id="4"/>
            </w:r>
          </w:p>
        </w:tc>
      </w:tr>
      <w:tr w:rsidR="00286996" w:rsidRPr="00C5314E" w14:paraId="58AE0D7A" w14:textId="77777777" w:rsidTr="00286996">
        <w:trPr>
          <w:trHeight w:val="177"/>
        </w:trPr>
        <w:tc>
          <w:tcPr>
            <w:tcW w:w="1482" w:type="dxa"/>
            <w:vMerge/>
            <w:tcBorders>
              <w:left w:val="single" w:sz="12" w:space="0" w:color="A5A5A5" w:themeColor="accent3"/>
              <w:right w:val="single" w:sz="8" w:space="0" w:color="FFFFFF"/>
            </w:tcBorders>
            <w:shd w:val="clear" w:color="auto" w:fill="D9D9D9"/>
            <w:tcMar>
              <w:top w:w="15" w:type="dxa"/>
              <w:left w:w="108" w:type="dxa"/>
              <w:bottom w:w="0" w:type="dxa"/>
              <w:right w:w="108" w:type="dxa"/>
            </w:tcMar>
          </w:tcPr>
          <w:p w14:paraId="0D0D9866" w14:textId="77777777" w:rsidR="00150608" w:rsidRPr="00760F3B" w:rsidRDefault="00150608" w:rsidP="00362DF9">
            <w:pPr>
              <w:spacing w:line="360" w:lineRule="auto"/>
              <w:ind w:left="113" w:right="113"/>
              <w:jc w:val="both"/>
              <w:rPr>
                <w:rFonts w:ascii="Times New Roman" w:hAnsi="Times New Roman"/>
                <w:b/>
                <w:sz w:val="24"/>
                <w:szCs w:val="24"/>
                <w:lang w:val="en-GB"/>
              </w:rPr>
            </w:pPr>
          </w:p>
        </w:tc>
        <w:tc>
          <w:tcPr>
            <w:tcW w:w="1908" w:type="dxa"/>
            <w:vMerge/>
            <w:tcBorders>
              <w:left w:val="single" w:sz="8" w:space="0" w:color="FFFFFF"/>
              <w:right w:val="single" w:sz="8" w:space="0" w:color="FFFFFF"/>
            </w:tcBorders>
            <w:shd w:val="clear" w:color="auto" w:fill="D9D9D9"/>
          </w:tcPr>
          <w:p w14:paraId="5D9C44CA" w14:textId="77777777" w:rsidR="00150608" w:rsidRPr="00354EE8" w:rsidRDefault="00150608" w:rsidP="00362DF9">
            <w:pPr>
              <w:spacing w:line="360" w:lineRule="auto"/>
              <w:ind w:left="113" w:right="113"/>
              <w:jc w:val="both"/>
              <w:rPr>
                <w:rFonts w:ascii="Times New Roman" w:hAnsi="Times New Roman"/>
                <w:b/>
                <w:bCs/>
                <w:color w:val="002060"/>
                <w:sz w:val="24"/>
                <w:szCs w:val="24"/>
                <w:u w:val="single"/>
                <w:lang w:val="en-GB"/>
              </w:rPr>
            </w:pPr>
          </w:p>
        </w:tc>
        <w:tc>
          <w:tcPr>
            <w:tcW w:w="5412" w:type="dxa"/>
            <w:tcBorders>
              <w:top w:val="single" w:sz="24" w:space="0" w:color="FFFFFF"/>
              <w:left w:val="single" w:sz="8" w:space="0" w:color="FFFFFF"/>
              <w:bottom w:val="single" w:sz="8" w:space="0" w:color="FFFFFF"/>
              <w:right w:val="single" w:sz="8" w:space="0" w:color="FFFFFF"/>
            </w:tcBorders>
            <w:shd w:val="clear" w:color="auto" w:fill="D9D9D9"/>
          </w:tcPr>
          <w:p w14:paraId="29DA61ED" w14:textId="016200F8" w:rsidR="00CD6079" w:rsidRPr="00CD6079" w:rsidRDefault="00150608" w:rsidP="00CD6079">
            <w:pPr>
              <w:spacing w:line="360" w:lineRule="auto"/>
              <w:ind w:left="113" w:right="113"/>
              <w:jc w:val="both"/>
              <w:rPr>
                <w:rFonts w:ascii="Times New Roman" w:hAnsi="Times New Roman"/>
                <w:b/>
                <w:color w:val="002060"/>
                <w:sz w:val="24"/>
                <w:szCs w:val="24"/>
                <w:lang w:val="en-GB"/>
              </w:rPr>
            </w:pPr>
            <w:r w:rsidRPr="00354EE8">
              <w:rPr>
                <w:rFonts w:ascii="Times New Roman" w:hAnsi="Times New Roman"/>
                <w:b/>
                <w:bCs/>
                <w:color w:val="002060"/>
                <w:sz w:val="24"/>
                <w:szCs w:val="24"/>
                <w:u w:val="single"/>
                <w:lang w:val="en-GB"/>
              </w:rPr>
              <w:t>Table 4a</w:t>
            </w:r>
            <w:r w:rsidRPr="00354EE8">
              <w:rPr>
                <w:rFonts w:ascii="Times New Roman" w:hAnsi="Times New Roman"/>
                <w:b/>
                <w:bCs/>
                <w:color w:val="002060"/>
                <w:sz w:val="24"/>
                <w:szCs w:val="24"/>
                <w:lang w:val="en-GB"/>
              </w:rPr>
              <w:t xml:space="preserve">: </w:t>
            </w:r>
            <w:r w:rsidRPr="00354EE8">
              <w:rPr>
                <w:rFonts w:ascii="Times New Roman" w:hAnsi="Times New Roman"/>
                <w:color w:val="002060"/>
                <w:sz w:val="24"/>
                <w:szCs w:val="24"/>
                <w:lang w:val="en-GB"/>
              </w:rPr>
              <w:t>Payment transactions involving non-MFIs</w:t>
            </w:r>
            <w:r w:rsidR="005B5890" w:rsidRPr="005B5890">
              <w:rPr>
                <w:rStyle w:val="FootnoteReference"/>
                <w:rFonts w:ascii="Times New Roman" w:hAnsi="Times New Roman"/>
                <w:sz w:val="24"/>
                <w:szCs w:val="24"/>
              </w:rPr>
              <w:fldChar w:fldCharType="begin"/>
            </w:r>
            <w:r w:rsidR="005B5890" w:rsidRPr="005B5890">
              <w:rPr>
                <w:rStyle w:val="FootnoteReference"/>
                <w:rFonts w:ascii="Times New Roman" w:hAnsi="Times New Roman"/>
                <w:sz w:val="24"/>
                <w:szCs w:val="24"/>
                <w:lang w:val="en-GB"/>
              </w:rPr>
              <w:instrText xml:space="preserve"> NOTEREF _Ref88719588 \h  \* MERGEFORMAT </w:instrText>
            </w:r>
            <w:r w:rsidR="005B5890" w:rsidRPr="005B5890">
              <w:rPr>
                <w:rStyle w:val="FootnoteReference"/>
                <w:rFonts w:ascii="Times New Roman" w:hAnsi="Times New Roman"/>
                <w:sz w:val="24"/>
                <w:szCs w:val="24"/>
              </w:rPr>
            </w:r>
            <w:r w:rsidR="005B5890" w:rsidRPr="005B5890">
              <w:rPr>
                <w:rStyle w:val="FootnoteReference"/>
                <w:rFonts w:ascii="Times New Roman" w:hAnsi="Times New Roman"/>
                <w:sz w:val="24"/>
                <w:szCs w:val="24"/>
              </w:rPr>
              <w:fldChar w:fldCharType="separate"/>
            </w:r>
            <w:r w:rsidR="00F53249">
              <w:rPr>
                <w:rStyle w:val="FootnoteReference"/>
                <w:rFonts w:ascii="Times New Roman" w:hAnsi="Times New Roman"/>
                <w:sz w:val="24"/>
                <w:szCs w:val="24"/>
                <w:lang w:val="en-GB"/>
              </w:rPr>
              <w:t>2</w:t>
            </w:r>
            <w:r w:rsidR="005B5890" w:rsidRPr="005B5890">
              <w:rPr>
                <w:rStyle w:val="FootnoteReference"/>
                <w:rFonts w:ascii="Times New Roman" w:hAnsi="Times New Roman"/>
                <w:sz w:val="24"/>
                <w:szCs w:val="24"/>
              </w:rPr>
              <w:fldChar w:fldCharType="end"/>
            </w:r>
            <w:proofErr w:type="gramStart"/>
            <w:r w:rsidR="00CD6079">
              <w:rPr>
                <w:lang w:val="en-GB"/>
              </w:rPr>
              <w:t xml:space="preserve">  </w:t>
            </w:r>
            <w:r w:rsidR="00CD6079" w:rsidRPr="00CD6079">
              <w:rPr>
                <w:rFonts w:ascii="Times New Roman" w:hAnsi="Times New Roman"/>
                <w:b/>
                <w:i/>
                <w:lang w:val="en-GB"/>
              </w:rPr>
              <w:t xml:space="preserve"> </w:t>
            </w:r>
            <w:r w:rsidR="00CD6079" w:rsidRPr="00284306">
              <w:rPr>
                <w:rFonts w:ascii="Times New Roman" w:hAnsi="Times New Roman"/>
                <w:b/>
                <w:i/>
                <w:color w:val="ED7D31" w:themeColor="accent2"/>
                <w:lang w:val="en-GB"/>
              </w:rPr>
              <w:t>(</w:t>
            </w:r>
            <w:proofErr w:type="gramEnd"/>
            <w:r w:rsidR="00CD6079" w:rsidRPr="00284306">
              <w:rPr>
                <w:rFonts w:ascii="Times New Roman" w:hAnsi="Times New Roman"/>
                <w:b/>
                <w:i/>
                <w:color w:val="ED7D31" w:themeColor="accent2"/>
                <w:lang w:val="en-GB"/>
              </w:rPr>
              <w:t>refers to worksheets 5-12.6)</w:t>
            </w:r>
          </w:p>
          <w:p w14:paraId="7B69F5ED" w14:textId="77777777" w:rsidR="00150608" w:rsidRPr="00D7525F" w:rsidRDefault="00150608" w:rsidP="00362DF9">
            <w:pPr>
              <w:spacing w:line="360" w:lineRule="auto"/>
              <w:ind w:left="113" w:right="113"/>
              <w:jc w:val="both"/>
              <w:rPr>
                <w:rFonts w:ascii="Times New Roman" w:hAnsi="Times New Roman"/>
                <w:b/>
                <w:bCs/>
                <w:i/>
                <w:color w:val="003199"/>
                <w:sz w:val="24"/>
                <w:szCs w:val="24"/>
                <w:u w:val="single"/>
                <w:lang w:val="en-GB"/>
              </w:rPr>
            </w:pPr>
            <w:r>
              <w:rPr>
                <w:rFonts w:ascii="Times New Roman" w:hAnsi="Times New Roman"/>
                <w:i/>
                <w:sz w:val="24"/>
                <w:szCs w:val="24"/>
                <w:lang w:val="en-GB"/>
              </w:rPr>
              <w:t>I</w:t>
            </w:r>
            <w:r w:rsidRPr="00D7525F">
              <w:rPr>
                <w:rFonts w:ascii="Times New Roman" w:hAnsi="Times New Roman"/>
                <w:i/>
                <w:sz w:val="24"/>
                <w:szCs w:val="24"/>
                <w:lang w:val="en-GB"/>
              </w:rPr>
              <w:t xml:space="preserve">ncludes the </w:t>
            </w:r>
            <w:r w:rsidRPr="00354EE8">
              <w:rPr>
                <w:rFonts w:ascii="Times New Roman" w:hAnsi="Times New Roman"/>
                <w:b/>
                <w:i/>
                <w:color w:val="002060"/>
                <w:sz w:val="24"/>
                <w:szCs w:val="24"/>
                <w:lang w:val="en-GB"/>
              </w:rPr>
              <w:t>number and value of payment transactions sent and received</w:t>
            </w:r>
            <w:r w:rsidRPr="00354EE8">
              <w:rPr>
                <w:rFonts w:ascii="Times New Roman" w:hAnsi="Times New Roman"/>
                <w:i/>
                <w:color w:val="002060"/>
                <w:sz w:val="24"/>
                <w:szCs w:val="24"/>
                <w:lang w:val="en-GB"/>
              </w:rPr>
              <w:t xml:space="preserve"> </w:t>
            </w:r>
            <w:r w:rsidRPr="00D7525F">
              <w:rPr>
                <w:rFonts w:ascii="Times New Roman" w:hAnsi="Times New Roman"/>
                <w:i/>
                <w:sz w:val="24"/>
                <w:szCs w:val="24"/>
                <w:lang w:val="en-GB"/>
              </w:rPr>
              <w:t xml:space="preserve">by non-MFIs through PSPs resident in the country broken down between remote and non-remote transactions. Transactions are compiled </w:t>
            </w:r>
            <w:r w:rsidRPr="00354EE8">
              <w:rPr>
                <w:rFonts w:ascii="Times New Roman" w:hAnsi="Times New Roman"/>
                <w:b/>
                <w:i/>
                <w:color w:val="002060"/>
                <w:sz w:val="24"/>
                <w:szCs w:val="24"/>
                <w:lang w:val="en-GB"/>
              </w:rPr>
              <w:t>by payment service, initiation channel and within payment schemes</w:t>
            </w:r>
            <w:r w:rsidRPr="00354EE8">
              <w:rPr>
                <w:rFonts w:ascii="Times New Roman" w:hAnsi="Times New Roman"/>
                <w:i/>
                <w:color w:val="002060"/>
                <w:sz w:val="24"/>
                <w:szCs w:val="24"/>
                <w:lang w:val="en-GB"/>
              </w:rPr>
              <w:t xml:space="preserve"> </w:t>
            </w:r>
            <w:r w:rsidRPr="00D7525F">
              <w:rPr>
                <w:rFonts w:ascii="Times New Roman" w:hAnsi="Times New Roman"/>
                <w:i/>
                <w:sz w:val="24"/>
                <w:szCs w:val="24"/>
                <w:lang w:val="en-GB"/>
              </w:rPr>
              <w:t>with a breakdown between strong customer authentication (</w:t>
            </w:r>
            <w:r w:rsidRPr="00354EE8">
              <w:rPr>
                <w:rFonts w:ascii="Times New Roman" w:hAnsi="Times New Roman"/>
                <w:b/>
                <w:i/>
                <w:color w:val="002060"/>
                <w:sz w:val="24"/>
                <w:szCs w:val="24"/>
                <w:lang w:val="en-GB"/>
              </w:rPr>
              <w:t>SCA</w:t>
            </w:r>
            <w:r w:rsidRPr="00D7525F">
              <w:rPr>
                <w:rFonts w:ascii="Times New Roman" w:hAnsi="Times New Roman"/>
                <w:i/>
                <w:sz w:val="24"/>
                <w:szCs w:val="24"/>
                <w:lang w:val="en-GB"/>
              </w:rPr>
              <w:t>) and non-strong customer authentication (</w:t>
            </w:r>
            <w:r w:rsidRPr="00354EE8">
              <w:rPr>
                <w:rFonts w:ascii="Times New Roman" w:hAnsi="Times New Roman"/>
                <w:b/>
                <w:i/>
                <w:color w:val="002060"/>
                <w:sz w:val="24"/>
                <w:szCs w:val="24"/>
                <w:lang w:val="en-GB"/>
              </w:rPr>
              <w:t>non-SCA</w:t>
            </w:r>
            <w:r w:rsidRPr="00D7525F">
              <w:rPr>
                <w:rFonts w:ascii="Times New Roman" w:hAnsi="Times New Roman"/>
                <w:i/>
                <w:sz w:val="24"/>
                <w:szCs w:val="24"/>
                <w:lang w:val="en-GB"/>
              </w:rPr>
              <w:t>). For transactions authenticated via non-SCA the reasons for authentication via non-SCA are provided.</w:t>
            </w:r>
          </w:p>
        </w:tc>
        <w:tc>
          <w:tcPr>
            <w:tcW w:w="1385" w:type="dxa"/>
            <w:tcBorders>
              <w:top w:val="single" w:sz="24" w:space="0" w:color="FFFFFF"/>
              <w:left w:val="single" w:sz="8" w:space="0" w:color="FFFFFF"/>
              <w:bottom w:val="single" w:sz="8" w:space="0" w:color="FFFFFF"/>
              <w:right w:val="single" w:sz="12" w:space="0" w:color="A5A5A5" w:themeColor="accent3"/>
            </w:tcBorders>
            <w:shd w:val="clear" w:color="auto" w:fill="D9D9D9"/>
          </w:tcPr>
          <w:p w14:paraId="2B0C7E42" w14:textId="77777777" w:rsidR="00150608" w:rsidRDefault="00150608" w:rsidP="00AD738E">
            <w:pPr>
              <w:spacing w:line="360" w:lineRule="auto"/>
              <w:ind w:left="113" w:right="113"/>
              <w:rPr>
                <w:rFonts w:ascii="Times New Roman" w:hAnsi="Times New Roman"/>
                <w:b/>
                <w:color w:val="002060"/>
                <w:sz w:val="24"/>
                <w:szCs w:val="24"/>
                <w:lang w:val="en-GB"/>
              </w:rPr>
            </w:pPr>
            <w:r>
              <w:rPr>
                <w:rFonts w:ascii="Times New Roman" w:hAnsi="Times New Roman"/>
                <w:b/>
                <w:color w:val="002060"/>
                <w:sz w:val="24"/>
                <w:szCs w:val="24"/>
                <w:lang w:val="en-GB"/>
              </w:rPr>
              <w:t>T</w:t>
            </w:r>
            <w:r w:rsidRPr="00354EE8">
              <w:rPr>
                <w:rFonts w:ascii="Times New Roman" w:hAnsi="Times New Roman"/>
                <w:b/>
                <w:color w:val="002060"/>
                <w:sz w:val="24"/>
                <w:szCs w:val="24"/>
                <w:lang w:val="en-GB"/>
              </w:rPr>
              <w:t>he CY PSP that offers or accepts the payment services</w:t>
            </w:r>
            <w:r>
              <w:rPr>
                <w:rFonts w:ascii="Times New Roman" w:hAnsi="Times New Roman"/>
                <w:b/>
                <w:color w:val="002060"/>
                <w:sz w:val="24"/>
                <w:szCs w:val="24"/>
                <w:lang w:val="en-GB"/>
              </w:rPr>
              <w:t xml:space="preserve"> </w:t>
            </w:r>
          </w:p>
          <w:p w14:paraId="195478E1" w14:textId="5569FFE8" w:rsidR="00150608" w:rsidRPr="00354EE8" w:rsidRDefault="00150608" w:rsidP="00717BF3">
            <w:pPr>
              <w:spacing w:line="360" w:lineRule="auto"/>
              <w:ind w:left="113" w:right="113"/>
              <w:rPr>
                <w:rFonts w:ascii="Times New Roman" w:hAnsi="Times New Roman"/>
                <w:b/>
                <w:bCs/>
                <w:color w:val="002060"/>
                <w:sz w:val="24"/>
                <w:szCs w:val="24"/>
                <w:u w:val="single"/>
                <w:lang w:val="en-GB"/>
              </w:rPr>
            </w:pPr>
            <w:r>
              <w:rPr>
                <w:rFonts w:ascii="Times New Roman" w:hAnsi="Times New Roman"/>
                <w:color w:val="002060"/>
                <w:sz w:val="24"/>
                <w:szCs w:val="24"/>
                <w:lang w:val="en-GB"/>
              </w:rPr>
              <w:t>(</w:t>
            </w:r>
            <w:r w:rsidRPr="00591894">
              <w:rPr>
                <w:rFonts w:ascii="Times New Roman" w:hAnsi="Times New Roman"/>
                <w:color w:val="002060"/>
                <w:sz w:val="24"/>
                <w:szCs w:val="24"/>
                <w:lang w:val="en-GB"/>
              </w:rPr>
              <w:t>more information</w:t>
            </w:r>
            <w:r>
              <w:rPr>
                <w:rFonts w:ascii="Times New Roman" w:hAnsi="Times New Roman"/>
                <w:color w:val="002060"/>
                <w:sz w:val="24"/>
                <w:szCs w:val="24"/>
                <w:lang w:val="en-GB"/>
              </w:rPr>
              <w:t xml:space="preserve"> is available in</w:t>
            </w:r>
            <w:r w:rsidRPr="00591894">
              <w:rPr>
                <w:rFonts w:ascii="Times New Roman" w:hAnsi="Times New Roman"/>
                <w:color w:val="002060"/>
                <w:sz w:val="24"/>
                <w:szCs w:val="24"/>
                <w:lang w:val="en-GB"/>
              </w:rPr>
              <w:t xml:space="preserve"> </w:t>
            </w:r>
            <w:hyperlink w:anchor="_Table_4a:_Payment_1" w:history="1">
              <w:r w:rsidRPr="00591894">
                <w:rPr>
                  <w:rStyle w:val="Hyperlink"/>
                  <w:rFonts w:ascii="Times New Roman" w:hAnsi="Times New Roman"/>
                  <w:sz w:val="24"/>
                  <w:szCs w:val="24"/>
                  <w:lang w:val="en-GB"/>
                </w:rPr>
                <w:t>Figure 3</w:t>
              </w:r>
            </w:hyperlink>
            <w:r>
              <w:rPr>
                <w:rFonts w:ascii="Times New Roman" w:hAnsi="Times New Roman"/>
                <w:color w:val="002060"/>
                <w:sz w:val="24"/>
                <w:szCs w:val="24"/>
                <w:lang w:val="en-GB"/>
              </w:rPr>
              <w:t xml:space="preserve"> of Table 4a)</w:t>
            </w:r>
          </w:p>
        </w:tc>
      </w:tr>
      <w:tr w:rsidR="00286996" w:rsidRPr="00C5314E" w14:paraId="03625EAD" w14:textId="77777777" w:rsidTr="00286996">
        <w:trPr>
          <w:trHeight w:val="347"/>
        </w:trPr>
        <w:tc>
          <w:tcPr>
            <w:tcW w:w="1482" w:type="dxa"/>
            <w:vMerge/>
            <w:tcBorders>
              <w:left w:val="single" w:sz="12" w:space="0" w:color="A5A5A5" w:themeColor="accent3"/>
              <w:right w:val="single" w:sz="8" w:space="0" w:color="FFFFFF"/>
            </w:tcBorders>
            <w:shd w:val="clear" w:color="auto" w:fill="D9D9D9"/>
            <w:tcMar>
              <w:top w:w="15" w:type="dxa"/>
              <w:left w:w="108" w:type="dxa"/>
              <w:bottom w:w="0" w:type="dxa"/>
              <w:right w:w="108" w:type="dxa"/>
            </w:tcMar>
          </w:tcPr>
          <w:p w14:paraId="2847F4F0" w14:textId="77777777" w:rsidR="00150608" w:rsidRPr="00760F3B" w:rsidRDefault="00150608" w:rsidP="00362DF9">
            <w:pPr>
              <w:spacing w:line="360" w:lineRule="auto"/>
              <w:ind w:left="113" w:right="113"/>
              <w:jc w:val="both"/>
              <w:rPr>
                <w:rFonts w:ascii="Times New Roman" w:hAnsi="Times New Roman"/>
                <w:b/>
                <w:sz w:val="24"/>
                <w:szCs w:val="24"/>
                <w:lang w:val="en-GB"/>
              </w:rPr>
            </w:pPr>
          </w:p>
        </w:tc>
        <w:tc>
          <w:tcPr>
            <w:tcW w:w="1908" w:type="dxa"/>
            <w:vMerge/>
            <w:tcBorders>
              <w:left w:val="single" w:sz="8" w:space="0" w:color="FFFFFF"/>
              <w:right w:val="single" w:sz="8" w:space="0" w:color="FFFFFF"/>
            </w:tcBorders>
            <w:shd w:val="clear" w:color="auto" w:fill="D9D9D9"/>
          </w:tcPr>
          <w:p w14:paraId="6B8C5913" w14:textId="77777777" w:rsidR="00150608" w:rsidRPr="00354EE8" w:rsidRDefault="00150608" w:rsidP="00362DF9">
            <w:pPr>
              <w:spacing w:line="360" w:lineRule="auto"/>
              <w:ind w:left="113" w:right="113"/>
              <w:jc w:val="both"/>
              <w:rPr>
                <w:rFonts w:ascii="Times New Roman" w:hAnsi="Times New Roman"/>
                <w:b/>
                <w:bCs/>
                <w:color w:val="002060"/>
                <w:sz w:val="24"/>
                <w:szCs w:val="24"/>
                <w:u w:val="single"/>
                <w:lang w:val="en-GB"/>
              </w:rPr>
            </w:pPr>
          </w:p>
        </w:tc>
        <w:tc>
          <w:tcPr>
            <w:tcW w:w="5412" w:type="dxa"/>
            <w:tcBorders>
              <w:top w:val="single" w:sz="24" w:space="0" w:color="FFFFFF"/>
              <w:left w:val="single" w:sz="8" w:space="0" w:color="FFFFFF"/>
              <w:bottom w:val="single" w:sz="8" w:space="0" w:color="FFFFFF"/>
              <w:right w:val="single" w:sz="8" w:space="0" w:color="FFFFFF"/>
            </w:tcBorders>
            <w:shd w:val="clear" w:color="auto" w:fill="D9D9D9"/>
          </w:tcPr>
          <w:p w14:paraId="61A58A0D" w14:textId="20693729" w:rsidR="00CD6079" w:rsidRPr="00CD6079" w:rsidRDefault="00150608" w:rsidP="00CD6079">
            <w:pPr>
              <w:spacing w:line="360" w:lineRule="auto"/>
              <w:ind w:left="113" w:right="113"/>
              <w:jc w:val="both"/>
              <w:rPr>
                <w:rFonts w:ascii="Times New Roman" w:hAnsi="Times New Roman"/>
                <w:b/>
                <w:color w:val="002060"/>
                <w:sz w:val="24"/>
                <w:szCs w:val="24"/>
                <w:lang w:val="en-GB"/>
              </w:rPr>
            </w:pPr>
            <w:r w:rsidRPr="00354EE8">
              <w:rPr>
                <w:rFonts w:ascii="Times New Roman" w:hAnsi="Times New Roman"/>
                <w:b/>
                <w:bCs/>
                <w:color w:val="002060"/>
                <w:sz w:val="24"/>
                <w:szCs w:val="24"/>
                <w:u w:val="single"/>
                <w:lang w:val="en-GB"/>
              </w:rPr>
              <w:t>Table</w:t>
            </w:r>
            <w:r>
              <w:rPr>
                <w:rFonts w:ascii="Times New Roman" w:hAnsi="Times New Roman"/>
                <w:b/>
                <w:bCs/>
                <w:color w:val="002060"/>
                <w:sz w:val="24"/>
                <w:szCs w:val="24"/>
                <w:u w:val="single"/>
                <w:lang w:val="en-GB"/>
              </w:rPr>
              <w:t xml:space="preserve"> </w:t>
            </w:r>
            <w:r w:rsidRPr="00354EE8">
              <w:rPr>
                <w:rFonts w:ascii="Times New Roman" w:hAnsi="Times New Roman"/>
                <w:b/>
                <w:bCs/>
                <w:color w:val="002060"/>
                <w:sz w:val="24"/>
                <w:szCs w:val="24"/>
                <w:u w:val="single"/>
                <w:lang w:val="en-GB"/>
              </w:rPr>
              <w:t>6</w:t>
            </w:r>
            <w:r w:rsidRPr="00354EE8">
              <w:rPr>
                <w:rFonts w:ascii="Times New Roman" w:hAnsi="Times New Roman"/>
                <w:b/>
                <w:bCs/>
                <w:color w:val="002060"/>
                <w:sz w:val="24"/>
                <w:szCs w:val="24"/>
                <w:lang w:val="en-GB"/>
              </w:rPr>
              <w:t xml:space="preserve">: </w:t>
            </w:r>
            <w:r w:rsidRPr="00354EE8">
              <w:rPr>
                <w:rFonts w:ascii="Times New Roman" w:hAnsi="Times New Roman"/>
                <w:color w:val="002060"/>
                <w:sz w:val="24"/>
                <w:szCs w:val="24"/>
                <w:lang w:val="en-GB"/>
              </w:rPr>
              <w:t>Payment transactions per type of terminal involving non-MFIs</w:t>
            </w:r>
            <w:r w:rsidR="00284306" w:rsidRPr="00D339E0">
              <w:rPr>
                <w:rFonts w:ascii="Times New Roman" w:hAnsi="Times New Roman"/>
                <w:color w:val="002060"/>
                <w:sz w:val="24"/>
                <w:szCs w:val="24"/>
                <w:vertAlign w:val="superscript"/>
                <w:lang w:val="en-GB"/>
              </w:rPr>
              <w:fldChar w:fldCharType="begin"/>
            </w:r>
            <w:r w:rsidR="00284306" w:rsidRPr="00D339E0">
              <w:rPr>
                <w:rFonts w:ascii="Times New Roman" w:hAnsi="Times New Roman"/>
                <w:color w:val="002060"/>
                <w:sz w:val="24"/>
                <w:szCs w:val="24"/>
                <w:vertAlign w:val="superscript"/>
                <w:lang w:val="en-GB"/>
              </w:rPr>
              <w:instrText xml:space="preserve"> NOTEREF _Ref88719588 \h </w:instrText>
            </w:r>
            <w:r w:rsidR="00284306">
              <w:rPr>
                <w:rFonts w:ascii="Times New Roman" w:hAnsi="Times New Roman"/>
                <w:color w:val="002060"/>
                <w:sz w:val="24"/>
                <w:szCs w:val="24"/>
                <w:vertAlign w:val="superscript"/>
                <w:lang w:val="en-GB"/>
              </w:rPr>
              <w:instrText xml:space="preserve"> \* MERGEFORMAT </w:instrText>
            </w:r>
            <w:r w:rsidR="00284306" w:rsidRPr="00D339E0">
              <w:rPr>
                <w:rFonts w:ascii="Times New Roman" w:hAnsi="Times New Roman"/>
                <w:color w:val="002060"/>
                <w:sz w:val="24"/>
                <w:szCs w:val="24"/>
                <w:vertAlign w:val="superscript"/>
                <w:lang w:val="en-GB"/>
              </w:rPr>
            </w:r>
            <w:r w:rsidR="00284306" w:rsidRPr="00D339E0">
              <w:rPr>
                <w:rFonts w:ascii="Times New Roman" w:hAnsi="Times New Roman"/>
                <w:color w:val="002060"/>
                <w:sz w:val="24"/>
                <w:szCs w:val="24"/>
                <w:vertAlign w:val="superscript"/>
                <w:lang w:val="en-GB"/>
              </w:rPr>
              <w:fldChar w:fldCharType="separate"/>
            </w:r>
            <w:r w:rsidR="00F53249">
              <w:rPr>
                <w:rFonts w:ascii="Times New Roman" w:hAnsi="Times New Roman"/>
                <w:color w:val="002060"/>
                <w:sz w:val="24"/>
                <w:szCs w:val="24"/>
                <w:vertAlign w:val="superscript"/>
                <w:lang w:val="en-GB"/>
              </w:rPr>
              <w:t>2</w:t>
            </w:r>
            <w:r w:rsidR="00284306" w:rsidRPr="00D339E0">
              <w:rPr>
                <w:rFonts w:ascii="Times New Roman" w:hAnsi="Times New Roman"/>
                <w:color w:val="002060"/>
                <w:sz w:val="24"/>
                <w:szCs w:val="24"/>
                <w:vertAlign w:val="superscript"/>
                <w:lang w:val="en-GB"/>
              </w:rPr>
              <w:fldChar w:fldCharType="end"/>
            </w:r>
            <w:r w:rsidR="00CD6079">
              <w:rPr>
                <w:lang w:val="en-GB"/>
              </w:rPr>
              <w:t xml:space="preserve"> </w:t>
            </w:r>
            <w:r w:rsidR="00CD6079" w:rsidRPr="00284306">
              <w:rPr>
                <w:rFonts w:ascii="Times New Roman" w:hAnsi="Times New Roman"/>
                <w:b/>
                <w:i/>
                <w:color w:val="ED7D31" w:themeColor="accent2"/>
                <w:lang w:val="en-GB"/>
              </w:rPr>
              <w:t>(refers to worksheet 4)</w:t>
            </w:r>
          </w:p>
          <w:p w14:paraId="4023513A" w14:textId="77777777" w:rsidR="00150608" w:rsidRPr="009C08DA" w:rsidRDefault="00150608" w:rsidP="00362DF9">
            <w:pPr>
              <w:spacing w:line="360" w:lineRule="auto"/>
              <w:ind w:left="113" w:right="113"/>
              <w:jc w:val="both"/>
              <w:rPr>
                <w:rFonts w:ascii="Times New Roman" w:hAnsi="Times New Roman"/>
                <w:b/>
                <w:bCs/>
                <w:i/>
                <w:color w:val="003199"/>
                <w:sz w:val="24"/>
                <w:szCs w:val="24"/>
                <w:u w:val="single"/>
                <w:lang w:val="en-GB"/>
              </w:rPr>
            </w:pPr>
            <w:r>
              <w:rPr>
                <w:rFonts w:ascii="Times New Roman" w:hAnsi="Times New Roman"/>
                <w:i/>
                <w:sz w:val="24"/>
                <w:szCs w:val="24"/>
                <w:lang w:val="en-GB"/>
              </w:rPr>
              <w:t>I</w:t>
            </w:r>
            <w:r w:rsidRPr="009C08DA">
              <w:rPr>
                <w:rFonts w:ascii="Times New Roman" w:hAnsi="Times New Roman"/>
                <w:i/>
                <w:sz w:val="24"/>
                <w:szCs w:val="24"/>
                <w:lang w:val="en-GB"/>
              </w:rPr>
              <w:t xml:space="preserve">ncludes the number and value of payment transactions sent by non-MFIs through PSPs. Transactions are compiled by </w:t>
            </w:r>
            <w:r w:rsidRPr="00354EE8">
              <w:rPr>
                <w:rFonts w:ascii="Times New Roman" w:hAnsi="Times New Roman"/>
                <w:b/>
                <w:i/>
                <w:color w:val="002060"/>
                <w:sz w:val="24"/>
                <w:szCs w:val="24"/>
                <w:lang w:val="en-GB"/>
              </w:rPr>
              <w:t>type of terminal</w:t>
            </w:r>
            <w:r w:rsidRPr="00354EE8">
              <w:rPr>
                <w:rFonts w:ascii="Times New Roman" w:hAnsi="Times New Roman"/>
                <w:i/>
                <w:color w:val="002060"/>
                <w:sz w:val="24"/>
                <w:szCs w:val="24"/>
                <w:lang w:val="en-GB"/>
              </w:rPr>
              <w:t xml:space="preserve"> </w:t>
            </w:r>
            <w:r w:rsidRPr="009C08DA">
              <w:rPr>
                <w:rFonts w:ascii="Times New Roman" w:hAnsi="Times New Roman"/>
                <w:i/>
                <w:sz w:val="24"/>
                <w:szCs w:val="24"/>
                <w:lang w:val="en-GB"/>
              </w:rPr>
              <w:t>involved</w:t>
            </w:r>
            <w:r>
              <w:rPr>
                <w:rFonts w:ascii="Times New Roman" w:hAnsi="Times New Roman"/>
                <w:i/>
                <w:sz w:val="24"/>
                <w:szCs w:val="24"/>
                <w:lang w:val="en-GB"/>
              </w:rPr>
              <w:t>,</w:t>
            </w:r>
            <w:r w:rsidRPr="009C08DA">
              <w:rPr>
                <w:rFonts w:ascii="Times New Roman" w:hAnsi="Times New Roman"/>
                <w:i/>
                <w:sz w:val="24"/>
                <w:szCs w:val="24"/>
                <w:lang w:val="en-GB"/>
              </w:rPr>
              <w:t xml:space="preserve"> with a geographical breakdown. Number and value of </w:t>
            </w:r>
            <w:proofErr w:type="gramStart"/>
            <w:r w:rsidRPr="009C08DA">
              <w:rPr>
                <w:rFonts w:ascii="Times New Roman" w:hAnsi="Times New Roman"/>
                <w:i/>
                <w:sz w:val="24"/>
                <w:szCs w:val="24"/>
                <w:lang w:val="en-GB"/>
              </w:rPr>
              <w:t>over-the-counter</w:t>
            </w:r>
            <w:proofErr w:type="gramEnd"/>
            <w:r w:rsidRPr="009C08DA">
              <w:rPr>
                <w:rFonts w:ascii="Times New Roman" w:hAnsi="Times New Roman"/>
                <w:i/>
                <w:sz w:val="24"/>
                <w:szCs w:val="24"/>
                <w:lang w:val="en-GB"/>
              </w:rPr>
              <w:t xml:space="preserve"> (OTC) cash </w:t>
            </w:r>
            <w:r w:rsidRPr="009C08DA">
              <w:rPr>
                <w:rFonts w:ascii="Times New Roman" w:hAnsi="Times New Roman"/>
                <w:i/>
                <w:sz w:val="24"/>
                <w:szCs w:val="24"/>
                <w:lang w:val="en-GB"/>
              </w:rPr>
              <w:lastRenderedPageBreak/>
              <w:t>withdrawals and deposits are also included, as are the number and value of cash advances at POS terminals.</w:t>
            </w:r>
          </w:p>
        </w:tc>
        <w:tc>
          <w:tcPr>
            <w:tcW w:w="1385" w:type="dxa"/>
            <w:tcBorders>
              <w:top w:val="single" w:sz="24" w:space="0" w:color="FFFFFF"/>
              <w:left w:val="single" w:sz="8" w:space="0" w:color="FFFFFF"/>
              <w:bottom w:val="single" w:sz="8" w:space="0" w:color="FFFFFF"/>
              <w:right w:val="single" w:sz="12" w:space="0" w:color="A5A5A5"/>
            </w:tcBorders>
            <w:shd w:val="clear" w:color="auto" w:fill="D9D9D9"/>
          </w:tcPr>
          <w:p w14:paraId="25F000FB" w14:textId="77777777" w:rsidR="00150608" w:rsidRPr="00354EE8" w:rsidRDefault="00150608" w:rsidP="00AD738E">
            <w:pPr>
              <w:spacing w:line="360" w:lineRule="auto"/>
              <w:ind w:left="113" w:right="113"/>
              <w:rPr>
                <w:rFonts w:ascii="Times New Roman" w:hAnsi="Times New Roman"/>
                <w:b/>
                <w:bCs/>
                <w:color w:val="002060"/>
                <w:sz w:val="24"/>
                <w:szCs w:val="24"/>
                <w:u w:val="single"/>
                <w:lang w:val="en-GB"/>
              </w:rPr>
            </w:pPr>
            <w:r>
              <w:rPr>
                <w:rFonts w:ascii="Times New Roman" w:hAnsi="Times New Roman"/>
                <w:b/>
                <w:color w:val="002060"/>
                <w:sz w:val="24"/>
                <w:szCs w:val="24"/>
                <w:lang w:val="en-GB"/>
              </w:rPr>
              <w:lastRenderedPageBreak/>
              <w:t>T</w:t>
            </w:r>
            <w:r w:rsidRPr="00354EE8">
              <w:rPr>
                <w:rFonts w:ascii="Times New Roman" w:hAnsi="Times New Roman"/>
                <w:b/>
                <w:color w:val="002060"/>
                <w:sz w:val="24"/>
                <w:szCs w:val="24"/>
                <w:lang w:val="en-GB"/>
              </w:rPr>
              <w:t>he CY PSP that provides terminals</w:t>
            </w:r>
          </w:p>
        </w:tc>
      </w:tr>
      <w:tr w:rsidR="00286996" w:rsidRPr="00760F3B" w14:paraId="5DEB95A2" w14:textId="77777777" w:rsidTr="00286996">
        <w:trPr>
          <w:trHeight w:val="429"/>
        </w:trPr>
        <w:tc>
          <w:tcPr>
            <w:tcW w:w="1482" w:type="dxa"/>
            <w:vMerge/>
            <w:tcBorders>
              <w:left w:val="single" w:sz="12" w:space="0" w:color="A5A5A5" w:themeColor="accent3"/>
              <w:right w:val="single" w:sz="8" w:space="0" w:color="FFFFFF"/>
            </w:tcBorders>
            <w:shd w:val="clear" w:color="auto" w:fill="D9D9D9"/>
            <w:tcMar>
              <w:top w:w="15" w:type="dxa"/>
              <w:left w:w="108" w:type="dxa"/>
              <w:bottom w:w="0" w:type="dxa"/>
              <w:right w:w="108" w:type="dxa"/>
            </w:tcMar>
          </w:tcPr>
          <w:p w14:paraId="6FD6BCE1" w14:textId="77777777" w:rsidR="00150608" w:rsidRPr="00760F3B" w:rsidRDefault="00150608" w:rsidP="00362DF9">
            <w:pPr>
              <w:spacing w:line="360" w:lineRule="auto"/>
              <w:ind w:left="113" w:right="113"/>
              <w:jc w:val="both"/>
              <w:rPr>
                <w:rFonts w:ascii="Times New Roman" w:hAnsi="Times New Roman"/>
                <w:b/>
                <w:sz w:val="24"/>
                <w:szCs w:val="24"/>
                <w:lang w:val="en-GB"/>
              </w:rPr>
            </w:pPr>
          </w:p>
        </w:tc>
        <w:tc>
          <w:tcPr>
            <w:tcW w:w="1908" w:type="dxa"/>
            <w:vMerge/>
            <w:tcBorders>
              <w:left w:val="single" w:sz="8" w:space="0" w:color="FFFFFF"/>
              <w:right w:val="single" w:sz="8" w:space="0" w:color="FFFFFF"/>
            </w:tcBorders>
            <w:shd w:val="clear" w:color="auto" w:fill="D9D9D9"/>
          </w:tcPr>
          <w:p w14:paraId="1C19001F" w14:textId="77777777" w:rsidR="00150608" w:rsidRPr="00354EE8" w:rsidRDefault="00150608" w:rsidP="00362DF9">
            <w:pPr>
              <w:spacing w:line="360" w:lineRule="auto"/>
              <w:ind w:left="113" w:right="113"/>
              <w:jc w:val="both"/>
              <w:rPr>
                <w:rFonts w:ascii="Times New Roman" w:hAnsi="Times New Roman"/>
                <w:b/>
                <w:bCs/>
                <w:color w:val="002060"/>
                <w:sz w:val="24"/>
                <w:szCs w:val="24"/>
                <w:u w:val="single"/>
                <w:lang w:val="en-GB"/>
              </w:rPr>
            </w:pPr>
          </w:p>
        </w:tc>
        <w:tc>
          <w:tcPr>
            <w:tcW w:w="5412" w:type="dxa"/>
            <w:tcBorders>
              <w:top w:val="single" w:sz="24" w:space="0" w:color="FFFFFF"/>
              <w:left w:val="single" w:sz="8" w:space="0" w:color="FFFFFF"/>
              <w:bottom w:val="single" w:sz="8" w:space="0" w:color="FFFFFF"/>
              <w:right w:val="single" w:sz="8" w:space="0" w:color="FFFFFF"/>
            </w:tcBorders>
            <w:shd w:val="clear" w:color="auto" w:fill="D9D9D9"/>
          </w:tcPr>
          <w:p w14:paraId="06266CD2" w14:textId="71C2F7C5" w:rsidR="00150608" w:rsidRDefault="00150608" w:rsidP="00362DF9">
            <w:pPr>
              <w:spacing w:line="360" w:lineRule="auto"/>
              <w:ind w:left="113" w:right="113"/>
              <w:jc w:val="both"/>
              <w:rPr>
                <w:rFonts w:ascii="Times New Roman" w:hAnsi="Times New Roman"/>
                <w:color w:val="002060"/>
                <w:sz w:val="24"/>
                <w:szCs w:val="24"/>
                <w:lang w:val="en-GB"/>
              </w:rPr>
            </w:pPr>
            <w:r w:rsidRPr="00354EE8">
              <w:rPr>
                <w:rFonts w:ascii="Times New Roman" w:hAnsi="Times New Roman"/>
                <w:b/>
                <w:bCs/>
                <w:color w:val="002060"/>
                <w:sz w:val="24"/>
                <w:szCs w:val="24"/>
                <w:u w:val="single"/>
                <w:lang w:val="en-GB"/>
              </w:rPr>
              <w:t>Table 7</w:t>
            </w:r>
            <w:r w:rsidRPr="00354EE8">
              <w:rPr>
                <w:rFonts w:ascii="Times New Roman" w:hAnsi="Times New Roman"/>
                <w:b/>
                <w:bCs/>
                <w:color w:val="002060"/>
                <w:sz w:val="24"/>
                <w:szCs w:val="24"/>
                <w:lang w:val="en-GB"/>
              </w:rPr>
              <w:t xml:space="preserve">: </w:t>
            </w:r>
            <w:r w:rsidRPr="00354EE8">
              <w:rPr>
                <w:rFonts w:ascii="Times New Roman" w:hAnsi="Times New Roman"/>
                <w:color w:val="002060"/>
                <w:sz w:val="24"/>
                <w:szCs w:val="24"/>
                <w:lang w:val="en-GB"/>
              </w:rPr>
              <w:t>Participation in selected payment systems</w:t>
            </w:r>
          </w:p>
          <w:p w14:paraId="445904BB" w14:textId="060F3143" w:rsidR="00722EE5" w:rsidRPr="00284306" w:rsidRDefault="00722EE5" w:rsidP="00722EE5">
            <w:pPr>
              <w:spacing w:line="360" w:lineRule="auto"/>
              <w:ind w:left="113" w:right="113"/>
              <w:jc w:val="both"/>
              <w:rPr>
                <w:rFonts w:ascii="Times New Roman" w:hAnsi="Times New Roman"/>
                <w:b/>
                <w:color w:val="ED7D31" w:themeColor="accent2"/>
                <w:sz w:val="24"/>
                <w:szCs w:val="24"/>
                <w:lang w:val="en-GB"/>
              </w:rPr>
            </w:pPr>
            <w:r w:rsidRPr="00284306">
              <w:rPr>
                <w:rFonts w:ascii="Times New Roman" w:hAnsi="Times New Roman"/>
                <w:b/>
                <w:i/>
                <w:color w:val="ED7D31" w:themeColor="accent2"/>
                <w:lang w:val="en-GB"/>
              </w:rPr>
              <w:t>(refers to worksheet 15)</w:t>
            </w:r>
          </w:p>
          <w:p w14:paraId="0B2979AD" w14:textId="77777777" w:rsidR="00150608" w:rsidRPr="009C08DA" w:rsidRDefault="00150608" w:rsidP="00362DF9">
            <w:pPr>
              <w:spacing w:after="120" w:line="360" w:lineRule="auto"/>
              <w:ind w:left="113" w:right="113"/>
              <w:jc w:val="both"/>
              <w:rPr>
                <w:rFonts w:ascii="Times New Roman" w:hAnsi="Times New Roman"/>
                <w:i/>
                <w:sz w:val="24"/>
                <w:szCs w:val="24"/>
                <w:lang w:val="en-GB"/>
              </w:rPr>
            </w:pPr>
            <w:r>
              <w:rPr>
                <w:rFonts w:ascii="Times New Roman" w:hAnsi="Times New Roman"/>
                <w:i/>
                <w:sz w:val="24"/>
                <w:szCs w:val="24"/>
                <w:lang w:val="en-GB"/>
              </w:rPr>
              <w:t>R</w:t>
            </w:r>
            <w:r w:rsidRPr="009C08DA">
              <w:rPr>
                <w:rFonts w:ascii="Times New Roman" w:hAnsi="Times New Roman"/>
                <w:i/>
                <w:sz w:val="24"/>
                <w:szCs w:val="24"/>
                <w:lang w:val="en-GB"/>
              </w:rPr>
              <w:t>efers to the number of participants in each payment system located in the country, distinguishing direct and indirect participants and within direct participants with a breakdown by type of institution.</w:t>
            </w:r>
          </w:p>
        </w:tc>
        <w:tc>
          <w:tcPr>
            <w:tcW w:w="1385" w:type="dxa"/>
            <w:tcBorders>
              <w:top w:val="single" w:sz="24" w:space="0" w:color="FFFFFF"/>
              <w:left w:val="single" w:sz="8" w:space="0" w:color="FFFFFF"/>
              <w:bottom w:val="single" w:sz="8" w:space="0" w:color="FFFFFF"/>
              <w:right w:val="single" w:sz="12" w:space="0" w:color="A5A5A5"/>
            </w:tcBorders>
            <w:shd w:val="clear" w:color="auto" w:fill="D9D9D9"/>
          </w:tcPr>
          <w:p w14:paraId="512D9CF7" w14:textId="77777777" w:rsidR="00150608" w:rsidRPr="00354EE8" w:rsidRDefault="00150608" w:rsidP="00AD738E">
            <w:pPr>
              <w:spacing w:line="360" w:lineRule="auto"/>
              <w:ind w:left="113" w:right="113"/>
              <w:rPr>
                <w:rFonts w:ascii="Times New Roman" w:hAnsi="Times New Roman"/>
                <w:b/>
                <w:bCs/>
                <w:color w:val="002060"/>
                <w:sz w:val="24"/>
                <w:szCs w:val="24"/>
                <w:lang w:val="en-GB"/>
              </w:rPr>
            </w:pPr>
            <w:r>
              <w:rPr>
                <w:rFonts w:ascii="Times New Roman" w:hAnsi="Times New Roman"/>
                <w:b/>
                <w:bCs/>
                <w:color w:val="002060"/>
                <w:sz w:val="24"/>
                <w:szCs w:val="24"/>
                <w:lang w:val="en-GB"/>
              </w:rPr>
              <w:t>T</w:t>
            </w:r>
            <w:r w:rsidRPr="00354EE8">
              <w:rPr>
                <w:rFonts w:ascii="Times New Roman" w:hAnsi="Times New Roman"/>
                <w:b/>
                <w:bCs/>
                <w:color w:val="002060"/>
                <w:sz w:val="24"/>
                <w:szCs w:val="24"/>
                <w:lang w:val="en-GB"/>
              </w:rPr>
              <w:t>he CY PSO</w:t>
            </w:r>
          </w:p>
        </w:tc>
      </w:tr>
      <w:tr w:rsidR="00286996" w:rsidRPr="00760F3B" w14:paraId="7080F05E" w14:textId="77777777" w:rsidTr="00286996">
        <w:trPr>
          <w:trHeight w:val="223"/>
        </w:trPr>
        <w:tc>
          <w:tcPr>
            <w:tcW w:w="1482" w:type="dxa"/>
            <w:vMerge/>
            <w:tcBorders>
              <w:left w:val="single" w:sz="12" w:space="0" w:color="A5A5A5" w:themeColor="accent3"/>
              <w:bottom w:val="single" w:sz="8" w:space="0" w:color="FFFFFF"/>
              <w:right w:val="single" w:sz="8" w:space="0" w:color="FFFFFF"/>
            </w:tcBorders>
            <w:shd w:val="clear" w:color="auto" w:fill="D9D9D9"/>
            <w:tcMar>
              <w:top w:w="15" w:type="dxa"/>
              <w:left w:w="108" w:type="dxa"/>
              <w:bottom w:w="0" w:type="dxa"/>
              <w:right w:w="108" w:type="dxa"/>
            </w:tcMar>
          </w:tcPr>
          <w:p w14:paraId="31D842E4" w14:textId="77777777" w:rsidR="00150608" w:rsidRPr="00760F3B" w:rsidRDefault="00150608" w:rsidP="00362DF9">
            <w:pPr>
              <w:spacing w:line="360" w:lineRule="auto"/>
              <w:ind w:left="113" w:right="113"/>
              <w:jc w:val="both"/>
              <w:rPr>
                <w:rFonts w:ascii="Times New Roman" w:hAnsi="Times New Roman"/>
                <w:b/>
                <w:sz w:val="24"/>
                <w:szCs w:val="24"/>
                <w:lang w:val="en-GB"/>
              </w:rPr>
            </w:pPr>
          </w:p>
        </w:tc>
        <w:tc>
          <w:tcPr>
            <w:tcW w:w="1908" w:type="dxa"/>
            <w:vMerge/>
            <w:tcBorders>
              <w:left w:val="single" w:sz="8" w:space="0" w:color="FFFFFF"/>
              <w:bottom w:val="single" w:sz="8" w:space="0" w:color="FFFFFF"/>
              <w:right w:val="single" w:sz="8" w:space="0" w:color="FFFFFF"/>
            </w:tcBorders>
            <w:shd w:val="clear" w:color="auto" w:fill="D9D9D9"/>
          </w:tcPr>
          <w:p w14:paraId="508AF2E7" w14:textId="77777777" w:rsidR="00150608" w:rsidRPr="00354EE8" w:rsidRDefault="00150608" w:rsidP="00362DF9">
            <w:pPr>
              <w:spacing w:line="360" w:lineRule="auto"/>
              <w:ind w:left="113" w:right="113"/>
              <w:jc w:val="both"/>
              <w:rPr>
                <w:rFonts w:ascii="Times New Roman" w:hAnsi="Times New Roman"/>
                <w:b/>
                <w:bCs/>
                <w:color w:val="002060"/>
                <w:sz w:val="24"/>
                <w:szCs w:val="24"/>
                <w:u w:val="single"/>
                <w:lang w:val="en-GB"/>
              </w:rPr>
            </w:pPr>
          </w:p>
        </w:tc>
        <w:tc>
          <w:tcPr>
            <w:tcW w:w="5412" w:type="dxa"/>
            <w:tcBorders>
              <w:top w:val="single" w:sz="24" w:space="0" w:color="FFFFFF"/>
              <w:left w:val="single" w:sz="8" w:space="0" w:color="FFFFFF"/>
              <w:bottom w:val="single" w:sz="8" w:space="0" w:color="FFFFFF"/>
              <w:right w:val="single" w:sz="8" w:space="0" w:color="FFFFFF"/>
            </w:tcBorders>
            <w:shd w:val="clear" w:color="auto" w:fill="D9D9D9"/>
          </w:tcPr>
          <w:p w14:paraId="0749EAA4" w14:textId="3F7C14A1" w:rsidR="00722EE5" w:rsidRPr="00CD6079" w:rsidRDefault="00150608" w:rsidP="00722EE5">
            <w:pPr>
              <w:spacing w:line="360" w:lineRule="auto"/>
              <w:ind w:left="113" w:right="113"/>
              <w:jc w:val="both"/>
              <w:rPr>
                <w:rFonts w:ascii="Times New Roman" w:hAnsi="Times New Roman"/>
                <w:b/>
                <w:color w:val="002060"/>
                <w:sz w:val="24"/>
                <w:szCs w:val="24"/>
                <w:lang w:val="en-GB"/>
              </w:rPr>
            </w:pPr>
            <w:r w:rsidRPr="00354EE8">
              <w:rPr>
                <w:rFonts w:ascii="Times New Roman" w:hAnsi="Times New Roman"/>
                <w:b/>
                <w:bCs/>
                <w:color w:val="002060"/>
                <w:sz w:val="24"/>
                <w:szCs w:val="24"/>
                <w:u w:val="single"/>
                <w:lang w:val="en-GB"/>
              </w:rPr>
              <w:t>Table 8</w:t>
            </w:r>
            <w:r w:rsidRPr="00354EE8">
              <w:rPr>
                <w:rFonts w:ascii="Times New Roman" w:hAnsi="Times New Roman"/>
                <w:b/>
                <w:bCs/>
                <w:color w:val="002060"/>
                <w:sz w:val="24"/>
                <w:szCs w:val="24"/>
                <w:lang w:val="en-GB"/>
              </w:rPr>
              <w:t xml:space="preserve">: </w:t>
            </w:r>
            <w:r w:rsidRPr="00354EE8">
              <w:rPr>
                <w:rFonts w:ascii="Times New Roman" w:hAnsi="Times New Roman"/>
                <w:color w:val="002060"/>
                <w:sz w:val="24"/>
                <w:szCs w:val="24"/>
                <w:lang w:val="en-GB"/>
              </w:rPr>
              <w:t xml:space="preserve">Payments processed by selected payment </w:t>
            </w:r>
            <w:proofErr w:type="gramStart"/>
            <w:r w:rsidRPr="00354EE8">
              <w:rPr>
                <w:rFonts w:ascii="Times New Roman" w:hAnsi="Times New Roman"/>
                <w:color w:val="002060"/>
                <w:sz w:val="24"/>
                <w:szCs w:val="24"/>
                <w:lang w:val="en-GB"/>
              </w:rPr>
              <w:t>systems</w:t>
            </w:r>
            <w:r w:rsidR="00722EE5">
              <w:rPr>
                <w:rFonts w:ascii="Times New Roman" w:hAnsi="Times New Roman"/>
                <w:color w:val="002060"/>
                <w:sz w:val="24"/>
                <w:szCs w:val="24"/>
                <w:lang w:val="en-GB"/>
              </w:rPr>
              <w:t xml:space="preserve">  </w:t>
            </w:r>
            <w:r w:rsidR="00722EE5" w:rsidRPr="00284306">
              <w:rPr>
                <w:rFonts w:ascii="Times New Roman" w:hAnsi="Times New Roman"/>
                <w:b/>
                <w:i/>
                <w:color w:val="ED7D31" w:themeColor="accent2"/>
                <w:lang w:val="en-GB"/>
              </w:rPr>
              <w:t>(</w:t>
            </w:r>
            <w:proofErr w:type="gramEnd"/>
            <w:r w:rsidR="00722EE5" w:rsidRPr="00284306">
              <w:rPr>
                <w:rFonts w:ascii="Times New Roman" w:hAnsi="Times New Roman"/>
                <w:b/>
                <w:i/>
                <w:color w:val="ED7D31" w:themeColor="accent2"/>
                <w:lang w:val="en-GB"/>
              </w:rPr>
              <w:t>refers to worksheet 16)</w:t>
            </w:r>
          </w:p>
          <w:p w14:paraId="6860CF4D" w14:textId="77777777" w:rsidR="00150608" w:rsidRPr="009C08DA" w:rsidRDefault="00150608" w:rsidP="00362DF9">
            <w:pPr>
              <w:autoSpaceDE w:val="0"/>
              <w:autoSpaceDN w:val="0"/>
              <w:adjustRightInd w:val="0"/>
              <w:spacing w:after="120" w:line="360" w:lineRule="auto"/>
              <w:ind w:left="113" w:right="113"/>
              <w:jc w:val="both"/>
              <w:rPr>
                <w:rFonts w:ascii="Times New Roman" w:hAnsi="Times New Roman"/>
                <w:i/>
                <w:sz w:val="24"/>
                <w:szCs w:val="24"/>
                <w:lang w:val="en-GB"/>
              </w:rPr>
            </w:pPr>
            <w:r>
              <w:rPr>
                <w:rFonts w:ascii="Times New Roman" w:hAnsi="Times New Roman"/>
                <w:i/>
                <w:sz w:val="24"/>
                <w:szCs w:val="24"/>
                <w:lang w:val="en-GB"/>
              </w:rPr>
              <w:t>R</w:t>
            </w:r>
            <w:r w:rsidRPr="009C08DA">
              <w:rPr>
                <w:rFonts w:ascii="Times New Roman" w:hAnsi="Times New Roman"/>
                <w:i/>
                <w:sz w:val="24"/>
                <w:szCs w:val="24"/>
                <w:lang w:val="en-GB"/>
              </w:rPr>
              <w:t xml:space="preserve">efers to </w:t>
            </w:r>
            <w:r w:rsidRPr="00354EE8">
              <w:rPr>
                <w:rFonts w:ascii="Times New Roman" w:hAnsi="Times New Roman"/>
                <w:b/>
                <w:i/>
                <w:color w:val="002060"/>
                <w:sz w:val="24"/>
                <w:szCs w:val="24"/>
                <w:lang w:val="en-GB"/>
              </w:rPr>
              <w:t>payment transactions processed</w:t>
            </w:r>
            <w:r w:rsidRPr="00354EE8">
              <w:rPr>
                <w:rFonts w:ascii="Times New Roman" w:hAnsi="Times New Roman"/>
                <w:i/>
                <w:color w:val="002060"/>
                <w:sz w:val="24"/>
                <w:szCs w:val="24"/>
                <w:lang w:val="en-GB"/>
              </w:rPr>
              <w:t xml:space="preserve"> </w:t>
            </w:r>
            <w:r w:rsidRPr="009C08DA">
              <w:rPr>
                <w:rFonts w:ascii="Times New Roman" w:hAnsi="Times New Roman"/>
                <w:i/>
                <w:sz w:val="24"/>
                <w:szCs w:val="24"/>
                <w:lang w:val="en-GB"/>
              </w:rPr>
              <w:t>through a payment system and is reported by the institution that operates a payment system i.e. PSO.</w:t>
            </w:r>
          </w:p>
        </w:tc>
        <w:tc>
          <w:tcPr>
            <w:tcW w:w="1385" w:type="dxa"/>
            <w:tcBorders>
              <w:top w:val="single" w:sz="24" w:space="0" w:color="FFFFFF"/>
              <w:left w:val="single" w:sz="8" w:space="0" w:color="FFFFFF"/>
              <w:bottom w:val="single" w:sz="8" w:space="0" w:color="FFFFFF"/>
              <w:right w:val="single" w:sz="12" w:space="0" w:color="A5A5A5"/>
            </w:tcBorders>
            <w:shd w:val="clear" w:color="auto" w:fill="D9D9D9"/>
          </w:tcPr>
          <w:p w14:paraId="64FD9D1B" w14:textId="77777777" w:rsidR="00150608" w:rsidRPr="00354EE8" w:rsidRDefault="00150608" w:rsidP="00AD738E">
            <w:pPr>
              <w:spacing w:line="360" w:lineRule="auto"/>
              <w:ind w:left="113" w:right="113"/>
              <w:rPr>
                <w:rFonts w:ascii="Times New Roman" w:hAnsi="Times New Roman"/>
                <w:b/>
                <w:bCs/>
                <w:color w:val="002060"/>
                <w:sz w:val="24"/>
                <w:szCs w:val="24"/>
                <w:u w:val="single"/>
                <w:lang w:val="en-GB"/>
              </w:rPr>
            </w:pPr>
            <w:r>
              <w:rPr>
                <w:rFonts w:ascii="Times New Roman" w:hAnsi="Times New Roman"/>
                <w:b/>
                <w:bCs/>
                <w:color w:val="002060"/>
                <w:sz w:val="24"/>
                <w:szCs w:val="24"/>
                <w:lang w:val="en-GB"/>
              </w:rPr>
              <w:t>T</w:t>
            </w:r>
            <w:r w:rsidRPr="00354EE8">
              <w:rPr>
                <w:rFonts w:ascii="Times New Roman" w:hAnsi="Times New Roman"/>
                <w:b/>
                <w:bCs/>
                <w:color w:val="002060"/>
                <w:sz w:val="24"/>
                <w:szCs w:val="24"/>
                <w:lang w:val="en-GB"/>
              </w:rPr>
              <w:t>he CY PSO</w:t>
            </w:r>
          </w:p>
        </w:tc>
      </w:tr>
      <w:tr w:rsidR="00286996" w:rsidRPr="00C5314E" w14:paraId="54191E1D" w14:textId="77777777" w:rsidTr="00286996">
        <w:trPr>
          <w:trHeight w:val="400"/>
        </w:trPr>
        <w:tc>
          <w:tcPr>
            <w:tcW w:w="1482" w:type="dxa"/>
            <w:tcBorders>
              <w:top w:val="single" w:sz="24" w:space="0" w:color="FFFFFF"/>
              <w:left w:val="single" w:sz="12" w:space="0" w:color="A5A5A5"/>
              <w:bottom w:val="single" w:sz="12" w:space="0" w:color="A5A5A5"/>
              <w:right w:val="single" w:sz="8" w:space="0" w:color="FFFFFF"/>
            </w:tcBorders>
            <w:shd w:val="clear" w:color="auto" w:fill="D9D9D9"/>
            <w:tcMar>
              <w:top w:w="15" w:type="dxa"/>
              <w:left w:w="108" w:type="dxa"/>
              <w:bottom w:w="0" w:type="dxa"/>
              <w:right w:w="108" w:type="dxa"/>
            </w:tcMar>
          </w:tcPr>
          <w:p w14:paraId="1D924501" w14:textId="77777777" w:rsidR="00150608" w:rsidRPr="00760F3B" w:rsidRDefault="00150608" w:rsidP="00150608">
            <w:pPr>
              <w:spacing w:line="360" w:lineRule="auto"/>
              <w:ind w:left="113" w:right="113"/>
              <w:jc w:val="both"/>
              <w:rPr>
                <w:rFonts w:ascii="Times New Roman" w:hAnsi="Times New Roman"/>
                <w:b/>
                <w:sz w:val="24"/>
                <w:szCs w:val="24"/>
                <w:lang w:val="en-GB"/>
              </w:rPr>
            </w:pPr>
            <w:r w:rsidRPr="00760F3B">
              <w:rPr>
                <w:rFonts w:ascii="Times New Roman" w:hAnsi="Times New Roman"/>
                <w:b/>
                <w:sz w:val="24"/>
                <w:szCs w:val="24"/>
                <w:lang w:val="en-GB"/>
              </w:rPr>
              <w:t>Semi-annually</w:t>
            </w:r>
          </w:p>
        </w:tc>
        <w:tc>
          <w:tcPr>
            <w:tcW w:w="1908" w:type="dxa"/>
            <w:tcBorders>
              <w:top w:val="single" w:sz="24" w:space="0" w:color="FFFFFF"/>
              <w:left w:val="single" w:sz="8" w:space="0" w:color="FFFFFF"/>
              <w:bottom w:val="single" w:sz="12" w:space="0" w:color="A5A5A5"/>
              <w:right w:val="single" w:sz="8" w:space="0" w:color="FFFFFF"/>
            </w:tcBorders>
            <w:shd w:val="clear" w:color="auto" w:fill="D9D9D9"/>
          </w:tcPr>
          <w:p w14:paraId="0F6DFEC6" w14:textId="77777777" w:rsidR="00286996" w:rsidRPr="00BD700D" w:rsidRDefault="00286996" w:rsidP="00150608">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PAYSTS2_</w:t>
            </w:r>
          </w:p>
          <w:p w14:paraId="09D3A961" w14:textId="77777777" w:rsidR="00286996" w:rsidRPr="00BD700D" w:rsidRDefault="00286996" w:rsidP="00150608">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MASTER_</w:t>
            </w:r>
          </w:p>
          <w:p w14:paraId="1815B19A" w14:textId="77777777" w:rsidR="00286996" w:rsidRPr="00BD700D" w:rsidRDefault="00150608" w:rsidP="00150608">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TEMPLATE_</w:t>
            </w:r>
          </w:p>
          <w:p w14:paraId="134B1FBD" w14:textId="77777777" w:rsidR="00B85254" w:rsidRPr="00BD700D" w:rsidRDefault="00B85254" w:rsidP="00B85254">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FRAUDULENT_</w:t>
            </w:r>
          </w:p>
          <w:p w14:paraId="440D5161" w14:textId="77777777" w:rsidR="00150608" w:rsidRPr="00354EE8" w:rsidRDefault="00150608" w:rsidP="00150608">
            <w:pPr>
              <w:spacing w:line="360" w:lineRule="auto"/>
              <w:ind w:left="113" w:right="113"/>
              <w:jc w:val="both"/>
              <w:rPr>
                <w:rFonts w:ascii="Times New Roman" w:hAnsi="Times New Roman"/>
                <w:b/>
                <w:bCs/>
                <w:color w:val="002060"/>
                <w:sz w:val="24"/>
                <w:szCs w:val="24"/>
                <w:u w:val="single"/>
                <w:lang w:val="en-GB"/>
              </w:rPr>
            </w:pPr>
            <w:r w:rsidRPr="00BD700D">
              <w:rPr>
                <w:rFonts w:ascii="Times New Roman" w:hAnsi="Times New Roman"/>
                <w:b/>
                <w:color w:val="003199"/>
                <w:sz w:val="24"/>
                <w:szCs w:val="24"/>
                <w:lang w:val="en-GB"/>
              </w:rPr>
              <w:t>SEMI-ANNUAL</w:t>
            </w:r>
          </w:p>
        </w:tc>
        <w:tc>
          <w:tcPr>
            <w:tcW w:w="5412" w:type="dxa"/>
            <w:tcBorders>
              <w:top w:val="single" w:sz="24" w:space="0" w:color="FFFFFF"/>
              <w:left w:val="single" w:sz="8" w:space="0" w:color="FFFFFF"/>
              <w:bottom w:val="single" w:sz="12" w:space="0" w:color="A5A5A5"/>
              <w:right w:val="single" w:sz="8" w:space="0" w:color="FFFFFF"/>
            </w:tcBorders>
            <w:shd w:val="clear" w:color="auto" w:fill="D9D9D9"/>
          </w:tcPr>
          <w:p w14:paraId="4EAC3302" w14:textId="680C603B" w:rsidR="00722EE5" w:rsidRPr="00CD6079" w:rsidRDefault="00150608" w:rsidP="00722EE5">
            <w:pPr>
              <w:spacing w:line="360" w:lineRule="auto"/>
              <w:ind w:left="113" w:right="113"/>
              <w:jc w:val="both"/>
              <w:rPr>
                <w:rFonts w:ascii="Times New Roman" w:hAnsi="Times New Roman"/>
                <w:b/>
                <w:color w:val="002060"/>
                <w:sz w:val="24"/>
                <w:szCs w:val="24"/>
                <w:lang w:val="en-GB"/>
              </w:rPr>
            </w:pPr>
            <w:r>
              <w:rPr>
                <w:rFonts w:ascii="Times New Roman" w:hAnsi="Times New Roman"/>
                <w:b/>
                <w:bCs/>
                <w:color w:val="002060"/>
                <w:sz w:val="24"/>
                <w:szCs w:val="24"/>
                <w:u w:val="single"/>
                <w:lang w:val="en-GB"/>
              </w:rPr>
              <w:t>Table 5a:</w:t>
            </w:r>
            <w:r w:rsidRPr="003643E4">
              <w:rPr>
                <w:rFonts w:ascii="Times New Roman" w:hAnsi="Times New Roman"/>
                <w:color w:val="002060"/>
                <w:sz w:val="24"/>
                <w:szCs w:val="24"/>
                <w:lang w:val="en-GB"/>
              </w:rPr>
              <w:t xml:space="preserve"> Fraudulent payment transactions involving non-MFIs</w:t>
            </w:r>
            <w:r w:rsidR="00722EE5" w:rsidRPr="00D339E0">
              <w:rPr>
                <w:rFonts w:ascii="Times New Roman" w:hAnsi="Times New Roman"/>
                <w:color w:val="002060"/>
                <w:sz w:val="24"/>
                <w:szCs w:val="24"/>
                <w:vertAlign w:val="superscript"/>
                <w:lang w:val="en-GB"/>
              </w:rPr>
              <w:fldChar w:fldCharType="begin"/>
            </w:r>
            <w:r w:rsidR="00722EE5" w:rsidRPr="00D339E0">
              <w:rPr>
                <w:rFonts w:ascii="Times New Roman" w:hAnsi="Times New Roman"/>
                <w:color w:val="002060"/>
                <w:sz w:val="24"/>
                <w:szCs w:val="24"/>
                <w:vertAlign w:val="superscript"/>
                <w:lang w:val="en-GB"/>
              </w:rPr>
              <w:instrText xml:space="preserve"> NOTEREF _Ref88719588 \h </w:instrText>
            </w:r>
            <w:r w:rsidR="00722EE5">
              <w:rPr>
                <w:rFonts w:ascii="Times New Roman" w:hAnsi="Times New Roman"/>
                <w:color w:val="002060"/>
                <w:sz w:val="24"/>
                <w:szCs w:val="24"/>
                <w:vertAlign w:val="superscript"/>
                <w:lang w:val="en-GB"/>
              </w:rPr>
              <w:instrText xml:space="preserve"> \* MERGEFORMAT </w:instrText>
            </w:r>
            <w:r w:rsidR="00722EE5" w:rsidRPr="00D339E0">
              <w:rPr>
                <w:rFonts w:ascii="Times New Roman" w:hAnsi="Times New Roman"/>
                <w:color w:val="002060"/>
                <w:sz w:val="24"/>
                <w:szCs w:val="24"/>
                <w:vertAlign w:val="superscript"/>
                <w:lang w:val="en-GB"/>
              </w:rPr>
            </w:r>
            <w:r w:rsidR="00722EE5" w:rsidRPr="00D339E0">
              <w:rPr>
                <w:rFonts w:ascii="Times New Roman" w:hAnsi="Times New Roman"/>
                <w:color w:val="002060"/>
                <w:sz w:val="24"/>
                <w:szCs w:val="24"/>
                <w:vertAlign w:val="superscript"/>
                <w:lang w:val="en-GB"/>
              </w:rPr>
              <w:fldChar w:fldCharType="separate"/>
            </w:r>
            <w:r w:rsidR="00F53249">
              <w:rPr>
                <w:rFonts w:ascii="Times New Roman" w:hAnsi="Times New Roman"/>
                <w:color w:val="002060"/>
                <w:sz w:val="24"/>
                <w:szCs w:val="24"/>
                <w:vertAlign w:val="superscript"/>
                <w:lang w:val="en-GB"/>
              </w:rPr>
              <w:t>2</w:t>
            </w:r>
            <w:r w:rsidR="00722EE5" w:rsidRPr="00D339E0">
              <w:rPr>
                <w:rFonts w:ascii="Times New Roman" w:hAnsi="Times New Roman"/>
                <w:color w:val="002060"/>
                <w:sz w:val="24"/>
                <w:szCs w:val="24"/>
                <w:vertAlign w:val="superscript"/>
                <w:lang w:val="en-GB"/>
              </w:rPr>
              <w:fldChar w:fldCharType="end"/>
            </w:r>
            <w:r w:rsidR="00722EE5">
              <w:rPr>
                <w:lang w:val="en-GB"/>
              </w:rPr>
              <w:t xml:space="preserve">  </w:t>
            </w:r>
            <w:r w:rsidR="00722EE5" w:rsidRPr="00284306">
              <w:rPr>
                <w:rFonts w:ascii="Times New Roman" w:hAnsi="Times New Roman"/>
                <w:b/>
                <w:i/>
                <w:color w:val="ED7D31" w:themeColor="accent2"/>
                <w:lang w:val="en-GB"/>
              </w:rPr>
              <w:t>(refers to worksheets 1-7.06)</w:t>
            </w:r>
          </w:p>
          <w:p w14:paraId="35A05054" w14:textId="77777777" w:rsidR="00150608" w:rsidRPr="00382ED2" w:rsidRDefault="00150608" w:rsidP="00150608">
            <w:pPr>
              <w:spacing w:line="360" w:lineRule="auto"/>
              <w:ind w:left="113" w:right="113"/>
              <w:jc w:val="both"/>
              <w:rPr>
                <w:rFonts w:ascii="Times New Roman" w:hAnsi="Times New Roman"/>
                <w:i/>
                <w:sz w:val="24"/>
                <w:szCs w:val="24"/>
                <w:lang w:val="en-GB"/>
              </w:rPr>
            </w:pPr>
            <w:r>
              <w:rPr>
                <w:rFonts w:ascii="Times New Roman" w:hAnsi="Times New Roman"/>
                <w:i/>
                <w:sz w:val="24"/>
                <w:szCs w:val="24"/>
                <w:lang w:val="en-GB"/>
              </w:rPr>
              <w:t xml:space="preserve">Includes the </w:t>
            </w:r>
            <w:r w:rsidRPr="00882FA6">
              <w:rPr>
                <w:rFonts w:ascii="Times New Roman" w:hAnsi="Times New Roman"/>
                <w:b/>
                <w:i/>
                <w:color w:val="002060"/>
                <w:sz w:val="24"/>
                <w:szCs w:val="24"/>
                <w:lang w:val="en-GB"/>
              </w:rPr>
              <w:t>number and value of fraudulent payment transactions sent and received</w:t>
            </w:r>
            <w:r w:rsidRPr="00382ED2">
              <w:rPr>
                <w:rFonts w:ascii="Times New Roman" w:hAnsi="Times New Roman"/>
                <w:i/>
                <w:sz w:val="24"/>
                <w:szCs w:val="24"/>
                <w:lang w:val="en-GB"/>
              </w:rPr>
              <w:t xml:space="preserve"> by non-MFIs through PSPs resident in the country. Transactions are compiled </w:t>
            </w:r>
            <w:r w:rsidRPr="00882FA6">
              <w:rPr>
                <w:rFonts w:ascii="Times New Roman" w:hAnsi="Times New Roman"/>
                <w:b/>
                <w:i/>
                <w:color w:val="002060"/>
                <w:sz w:val="24"/>
                <w:szCs w:val="24"/>
                <w:lang w:val="en-GB"/>
              </w:rPr>
              <w:t>by payment service, initiation channel and within payment schemes</w:t>
            </w:r>
            <w:r w:rsidRPr="00382ED2">
              <w:rPr>
                <w:rFonts w:ascii="Times New Roman" w:hAnsi="Times New Roman"/>
                <w:i/>
                <w:sz w:val="24"/>
                <w:szCs w:val="24"/>
                <w:lang w:val="en-GB"/>
              </w:rPr>
              <w:t xml:space="preserve"> with a breakdown by fraud origin and a breakdown between strong customer authentication </w:t>
            </w:r>
            <w:r w:rsidRPr="00882FA6">
              <w:rPr>
                <w:rFonts w:ascii="Times New Roman" w:hAnsi="Times New Roman"/>
                <w:b/>
                <w:i/>
                <w:color w:val="002060"/>
                <w:sz w:val="24"/>
                <w:szCs w:val="24"/>
                <w:lang w:val="en-GB"/>
              </w:rPr>
              <w:t>(SCA</w:t>
            </w:r>
            <w:r w:rsidRPr="00382ED2">
              <w:rPr>
                <w:rFonts w:ascii="Times New Roman" w:hAnsi="Times New Roman"/>
                <w:i/>
                <w:sz w:val="24"/>
                <w:szCs w:val="24"/>
                <w:lang w:val="en-GB"/>
              </w:rPr>
              <w:t>) and non-strong customer authentication (</w:t>
            </w:r>
            <w:r w:rsidRPr="00882FA6">
              <w:rPr>
                <w:rFonts w:ascii="Times New Roman" w:hAnsi="Times New Roman"/>
                <w:b/>
                <w:i/>
                <w:color w:val="002060"/>
                <w:sz w:val="24"/>
                <w:szCs w:val="24"/>
                <w:lang w:val="en-GB"/>
              </w:rPr>
              <w:t>non-SCA</w:t>
            </w:r>
            <w:r w:rsidRPr="00382ED2">
              <w:rPr>
                <w:rFonts w:ascii="Times New Roman" w:hAnsi="Times New Roman"/>
                <w:i/>
                <w:sz w:val="24"/>
                <w:szCs w:val="24"/>
                <w:lang w:val="en-GB"/>
              </w:rPr>
              <w:t>). For transactions authenticated via non-SCA, the reasons for the authentication via non-SCA are provided.</w:t>
            </w:r>
          </w:p>
        </w:tc>
        <w:tc>
          <w:tcPr>
            <w:tcW w:w="1385" w:type="dxa"/>
            <w:tcBorders>
              <w:top w:val="single" w:sz="24" w:space="0" w:color="FFFFFF"/>
              <w:left w:val="single" w:sz="8" w:space="0" w:color="FFFFFF"/>
              <w:bottom w:val="single" w:sz="12" w:space="0" w:color="A5A5A5"/>
              <w:right w:val="single" w:sz="12" w:space="0" w:color="A5A5A5"/>
            </w:tcBorders>
            <w:shd w:val="clear" w:color="auto" w:fill="D9D9D9"/>
          </w:tcPr>
          <w:p w14:paraId="62367796" w14:textId="77777777" w:rsidR="00150608" w:rsidRDefault="00150608" w:rsidP="00150608">
            <w:pPr>
              <w:spacing w:line="360" w:lineRule="auto"/>
              <w:ind w:left="113" w:right="113"/>
              <w:rPr>
                <w:rFonts w:ascii="Times New Roman" w:hAnsi="Times New Roman"/>
                <w:b/>
                <w:color w:val="002060"/>
                <w:sz w:val="24"/>
                <w:szCs w:val="24"/>
                <w:lang w:val="en-GB"/>
              </w:rPr>
            </w:pPr>
            <w:r>
              <w:rPr>
                <w:rFonts w:ascii="Times New Roman" w:hAnsi="Times New Roman"/>
                <w:b/>
                <w:color w:val="002060"/>
                <w:sz w:val="24"/>
                <w:szCs w:val="24"/>
                <w:lang w:val="en-GB"/>
              </w:rPr>
              <w:t>T</w:t>
            </w:r>
            <w:r w:rsidRPr="00354EE8">
              <w:rPr>
                <w:rFonts w:ascii="Times New Roman" w:hAnsi="Times New Roman"/>
                <w:b/>
                <w:color w:val="002060"/>
                <w:sz w:val="24"/>
                <w:szCs w:val="24"/>
                <w:lang w:val="en-GB"/>
              </w:rPr>
              <w:t>he CY PSP that offers or accepts the payment services</w:t>
            </w:r>
            <w:r>
              <w:rPr>
                <w:rFonts w:ascii="Times New Roman" w:hAnsi="Times New Roman"/>
                <w:b/>
                <w:color w:val="002060"/>
                <w:sz w:val="24"/>
                <w:szCs w:val="24"/>
                <w:lang w:val="en-GB"/>
              </w:rPr>
              <w:t xml:space="preserve"> </w:t>
            </w:r>
          </w:p>
          <w:p w14:paraId="5E96A3DC" w14:textId="2234554E" w:rsidR="00150608" w:rsidRDefault="00150608" w:rsidP="00150608">
            <w:pPr>
              <w:spacing w:line="360" w:lineRule="auto"/>
              <w:ind w:left="113" w:right="113"/>
              <w:rPr>
                <w:rFonts w:ascii="Times New Roman" w:hAnsi="Times New Roman"/>
                <w:b/>
                <w:color w:val="002060"/>
                <w:sz w:val="24"/>
                <w:szCs w:val="24"/>
                <w:lang w:val="en-GB"/>
              </w:rPr>
            </w:pPr>
            <w:r>
              <w:rPr>
                <w:rFonts w:ascii="Times New Roman" w:hAnsi="Times New Roman"/>
                <w:color w:val="002060"/>
                <w:sz w:val="24"/>
                <w:szCs w:val="24"/>
                <w:lang w:val="en-GB"/>
              </w:rPr>
              <w:t>(</w:t>
            </w:r>
            <w:r w:rsidRPr="00591894">
              <w:rPr>
                <w:rFonts w:ascii="Times New Roman" w:hAnsi="Times New Roman"/>
                <w:color w:val="002060"/>
                <w:sz w:val="24"/>
                <w:szCs w:val="24"/>
                <w:lang w:val="en-GB"/>
              </w:rPr>
              <w:t>more information</w:t>
            </w:r>
            <w:r>
              <w:rPr>
                <w:rFonts w:ascii="Times New Roman" w:hAnsi="Times New Roman"/>
                <w:color w:val="002060"/>
                <w:sz w:val="24"/>
                <w:szCs w:val="24"/>
                <w:lang w:val="en-GB"/>
              </w:rPr>
              <w:t xml:space="preserve"> is available in</w:t>
            </w:r>
            <w:r w:rsidRPr="00591894">
              <w:rPr>
                <w:rFonts w:ascii="Times New Roman" w:hAnsi="Times New Roman"/>
                <w:color w:val="002060"/>
                <w:sz w:val="24"/>
                <w:szCs w:val="24"/>
                <w:lang w:val="en-GB"/>
              </w:rPr>
              <w:t xml:space="preserve"> </w:t>
            </w:r>
            <w:hyperlink w:anchor="_Table_4a:_Payment_1" w:history="1">
              <w:r w:rsidRPr="00591894">
                <w:rPr>
                  <w:rStyle w:val="Hyperlink"/>
                  <w:rFonts w:ascii="Times New Roman" w:hAnsi="Times New Roman"/>
                  <w:sz w:val="24"/>
                  <w:szCs w:val="24"/>
                  <w:lang w:val="en-GB"/>
                </w:rPr>
                <w:t>Figure 3</w:t>
              </w:r>
            </w:hyperlink>
            <w:r>
              <w:rPr>
                <w:rFonts w:ascii="Times New Roman" w:hAnsi="Times New Roman"/>
                <w:color w:val="002060"/>
                <w:sz w:val="24"/>
                <w:szCs w:val="24"/>
                <w:lang w:val="en-GB"/>
              </w:rPr>
              <w:t xml:space="preserve"> of Table 4a)</w:t>
            </w:r>
          </w:p>
        </w:tc>
      </w:tr>
      <w:tr w:rsidR="00286996" w:rsidRPr="00C5314E" w14:paraId="40057AD0" w14:textId="77777777" w:rsidTr="00286996">
        <w:trPr>
          <w:trHeight w:val="400"/>
        </w:trPr>
        <w:tc>
          <w:tcPr>
            <w:tcW w:w="1482" w:type="dxa"/>
            <w:tcBorders>
              <w:top w:val="single" w:sz="24" w:space="0" w:color="FFFFFF"/>
              <w:left w:val="single" w:sz="12" w:space="0" w:color="A5A5A5"/>
              <w:bottom w:val="single" w:sz="12" w:space="0" w:color="A5A5A5"/>
              <w:right w:val="single" w:sz="8" w:space="0" w:color="FFFFFF"/>
            </w:tcBorders>
            <w:shd w:val="clear" w:color="auto" w:fill="D9D9D9"/>
            <w:tcMar>
              <w:top w:w="15" w:type="dxa"/>
              <w:left w:w="108" w:type="dxa"/>
              <w:bottom w:w="0" w:type="dxa"/>
              <w:right w:w="108" w:type="dxa"/>
            </w:tcMar>
          </w:tcPr>
          <w:p w14:paraId="62A52DA7" w14:textId="77777777" w:rsidR="00150608" w:rsidRPr="00760F3B" w:rsidRDefault="00150608" w:rsidP="00150608">
            <w:pPr>
              <w:spacing w:line="360" w:lineRule="auto"/>
              <w:ind w:left="113" w:right="113"/>
              <w:jc w:val="both"/>
              <w:rPr>
                <w:rFonts w:ascii="Times New Roman" w:hAnsi="Times New Roman"/>
                <w:b/>
                <w:sz w:val="24"/>
                <w:szCs w:val="24"/>
                <w:lang w:val="en-GB"/>
              </w:rPr>
            </w:pPr>
            <w:r w:rsidRPr="00760F3B">
              <w:rPr>
                <w:rFonts w:ascii="Times New Roman" w:hAnsi="Times New Roman"/>
                <w:b/>
                <w:sz w:val="24"/>
                <w:szCs w:val="24"/>
                <w:lang w:val="en-GB"/>
              </w:rPr>
              <w:t>Quarterly data</w:t>
            </w:r>
          </w:p>
        </w:tc>
        <w:tc>
          <w:tcPr>
            <w:tcW w:w="1908" w:type="dxa"/>
            <w:tcBorders>
              <w:top w:val="single" w:sz="24" w:space="0" w:color="FFFFFF"/>
              <w:left w:val="single" w:sz="8" w:space="0" w:color="FFFFFF"/>
              <w:bottom w:val="single" w:sz="12" w:space="0" w:color="A5A5A5"/>
              <w:right w:val="single" w:sz="8" w:space="0" w:color="FFFFFF"/>
            </w:tcBorders>
            <w:shd w:val="clear" w:color="auto" w:fill="D9D9D9"/>
          </w:tcPr>
          <w:p w14:paraId="75D547D1" w14:textId="77777777" w:rsidR="00286996" w:rsidRPr="00BD700D" w:rsidRDefault="00286996" w:rsidP="00286996">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PAYSTS2_</w:t>
            </w:r>
          </w:p>
          <w:p w14:paraId="12310933" w14:textId="77777777" w:rsidR="00286996" w:rsidRPr="00BD700D" w:rsidRDefault="00286996" w:rsidP="00286996">
            <w:pPr>
              <w:spacing w:line="360" w:lineRule="auto"/>
              <w:ind w:left="113" w:right="113"/>
              <w:jc w:val="both"/>
              <w:rPr>
                <w:rFonts w:ascii="Times New Roman" w:hAnsi="Times New Roman"/>
                <w:b/>
                <w:color w:val="003199"/>
                <w:sz w:val="24"/>
                <w:szCs w:val="24"/>
                <w:lang w:val="en-GB"/>
              </w:rPr>
            </w:pPr>
            <w:r w:rsidRPr="00BD700D">
              <w:rPr>
                <w:rFonts w:ascii="Times New Roman" w:hAnsi="Times New Roman"/>
                <w:b/>
                <w:color w:val="003199"/>
                <w:sz w:val="24"/>
                <w:szCs w:val="24"/>
                <w:lang w:val="en-GB"/>
              </w:rPr>
              <w:t>MASTER_</w:t>
            </w:r>
          </w:p>
          <w:p w14:paraId="7E3AAF22" w14:textId="77777777" w:rsidR="00150608" w:rsidRPr="00354EE8" w:rsidRDefault="00150608" w:rsidP="00286996">
            <w:pPr>
              <w:spacing w:line="360" w:lineRule="auto"/>
              <w:ind w:left="113" w:right="113"/>
              <w:jc w:val="both"/>
              <w:rPr>
                <w:rFonts w:ascii="Times New Roman" w:hAnsi="Times New Roman"/>
                <w:b/>
                <w:bCs/>
                <w:color w:val="002060"/>
                <w:sz w:val="24"/>
                <w:szCs w:val="24"/>
                <w:u w:val="single"/>
                <w:lang w:val="en-GB"/>
              </w:rPr>
            </w:pPr>
            <w:r w:rsidRPr="00BD700D">
              <w:rPr>
                <w:rFonts w:ascii="Times New Roman" w:hAnsi="Times New Roman"/>
                <w:b/>
                <w:color w:val="003199"/>
                <w:sz w:val="24"/>
                <w:szCs w:val="24"/>
                <w:lang w:val="en-GB"/>
              </w:rPr>
              <w:t>TEMPLATE_ QUARTER</w:t>
            </w:r>
          </w:p>
        </w:tc>
        <w:tc>
          <w:tcPr>
            <w:tcW w:w="5412" w:type="dxa"/>
            <w:tcBorders>
              <w:top w:val="single" w:sz="24" w:space="0" w:color="FFFFFF"/>
              <w:left w:val="single" w:sz="8" w:space="0" w:color="FFFFFF"/>
              <w:bottom w:val="single" w:sz="12" w:space="0" w:color="A5A5A5"/>
              <w:right w:val="single" w:sz="8" w:space="0" w:color="FFFFFF"/>
            </w:tcBorders>
            <w:shd w:val="clear" w:color="auto" w:fill="D9D9D9"/>
          </w:tcPr>
          <w:p w14:paraId="59CC1F1B" w14:textId="7EF2BECB" w:rsidR="00722EE5" w:rsidRPr="00CD6079" w:rsidRDefault="00150608" w:rsidP="00722EE5">
            <w:pPr>
              <w:spacing w:line="360" w:lineRule="auto"/>
              <w:ind w:left="113" w:right="113"/>
              <w:jc w:val="both"/>
              <w:rPr>
                <w:rFonts w:ascii="Times New Roman" w:hAnsi="Times New Roman"/>
                <w:b/>
                <w:color w:val="002060"/>
                <w:sz w:val="24"/>
                <w:szCs w:val="24"/>
                <w:lang w:val="en-GB"/>
              </w:rPr>
            </w:pPr>
            <w:r w:rsidRPr="00354EE8">
              <w:rPr>
                <w:rFonts w:ascii="Times New Roman" w:hAnsi="Times New Roman"/>
                <w:b/>
                <w:bCs/>
                <w:color w:val="002060"/>
                <w:sz w:val="24"/>
                <w:szCs w:val="24"/>
                <w:u w:val="single"/>
                <w:lang w:val="en-GB"/>
              </w:rPr>
              <w:t>Table 9</w:t>
            </w:r>
            <w:r w:rsidRPr="00354EE8">
              <w:rPr>
                <w:rFonts w:ascii="Times New Roman" w:hAnsi="Times New Roman"/>
                <w:b/>
                <w:bCs/>
                <w:color w:val="002060"/>
                <w:sz w:val="24"/>
                <w:szCs w:val="24"/>
                <w:lang w:val="en-GB"/>
              </w:rPr>
              <w:t xml:space="preserve">: </w:t>
            </w:r>
            <w:r w:rsidRPr="00354EE8">
              <w:rPr>
                <w:rFonts w:ascii="Times New Roman" w:hAnsi="Times New Roman"/>
                <w:color w:val="002060"/>
                <w:sz w:val="24"/>
                <w:szCs w:val="24"/>
                <w:lang w:val="en-GB"/>
              </w:rPr>
              <w:t>Quarterly reporting of payment transactions involving non-MFIs</w:t>
            </w:r>
            <w:r w:rsidR="00D339E0" w:rsidRPr="00D339E0">
              <w:rPr>
                <w:rFonts w:ascii="Times New Roman" w:hAnsi="Times New Roman"/>
                <w:color w:val="002060"/>
                <w:sz w:val="24"/>
                <w:szCs w:val="24"/>
                <w:vertAlign w:val="superscript"/>
                <w:lang w:val="en-GB"/>
              </w:rPr>
              <w:fldChar w:fldCharType="begin"/>
            </w:r>
            <w:r w:rsidR="00D339E0" w:rsidRPr="00D339E0">
              <w:rPr>
                <w:rFonts w:ascii="Times New Roman" w:hAnsi="Times New Roman"/>
                <w:color w:val="002060"/>
                <w:sz w:val="24"/>
                <w:szCs w:val="24"/>
                <w:vertAlign w:val="superscript"/>
                <w:lang w:val="en-GB"/>
              </w:rPr>
              <w:instrText xml:space="preserve"> NOTEREF _Ref88719588 \h </w:instrText>
            </w:r>
            <w:r w:rsidR="00D339E0">
              <w:rPr>
                <w:rFonts w:ascii="Times New Roman" w:hAnsi="Times New Roman"/>
                <w:color w:val="002060"/>
                <w:sz w:val="24"/>
                <w:szCs w:val="24"/>
                <w:vertAlign w:val="superscript"/>
                <w:lang w:val="en-GB"/>
              </w:rPr>
              <w:instrText xml:space="preserve"> \* MERGEFORMAT </w:instrText>
            </w:r>
            <w:r w:rsidR="00D339E0" w:rsidRPr="00D339E0">
              <w:rPr>
                <w:rFonts w:ascii="Times New Roman" w:hAnsi="Times New Roman"/>
                <w:color w:val="002060"/>
                <w:sz w:val="24"/>
                <w:szCs w:val="24"/>
                <w:vertAlign w:val="superscript"/>
                <w:lang w:val="en-GB"/>
              </w:rPr>
            </w:r>
            <w:r w:rsidR="00D339E0" w:rsidRPr="00D339E0">
              <w:rPr>
                <w:rFonts w:ascii="Times New Roman" w:hAnsi="Times New Roman"/>
                <w:color w:val="002060"/>
                <w:sz w:val="24"/>
                <w:szCs w:val="24"/>
                <w:vertAlign w:val="superscript"/>
                <w:lang w:val="en-GB"/>
              </w:rPr>
              <w:fldChar w:fldCharType="separate"/>
            </w:r>
            <w:r w:rsidR="00F53249">
              <w:rPr>
                <w:rFonts w:ascii="Times New Roman" w:hAnsi="Times New Roman"/>
                <w:color w:val="002060"/>
                <w:sz w:val="24"/>
                <w:szCs w:val="24"/>
                <w:vertAlign w:val="superscript"/>
                <w:lang w:val="en-GB"/>
              </w:rPr>
              <w:t>2</w:t>
            </w:r>
            <w:r w:rsidR="00D339E0" w:rsidRPr="00D339E0">
              <w:rPr>
                <w:rFonts w:ascii="Times New Roman" w:hAnsi="Times New Roman"/>
                <w:color w:val="002060"/>
                <w:sz w:val="24"/>
                <w:szCs w:val="24"/>
                <w:vertAlign w:val="superscript"/>
                <w:lang w:val="en-GB"/>
              </w:rPr>
              <w:fldChar w:fldCharType="end"/>
            </w:r>
            <w:r w:rsidR="00722EE5">
              <w:rPr>
                <w:rFonts w:ascii="Times New Roman" w:hAnsi="Times New Roman"/>
                <w:color w:val="002060"/>
                <w:sz w:val="24"/>
                <w:szCs w:val="24"/>
                <w:vertAlign w:val="superscript"/>
                <w:lang w:val="en-GB"/>
              </w:rPr>
              <w:t xml:space="preserve"> </w:t>
            </w:r>
            <w:r w:rsidR="00722EE5" w:rsidRPr="00284306">
              <w:rPr>
                <w:rFonts w:ascii="Times New Roman" w:hAnsi="Times New Roman"/>
                <w:b/>
                <w:i/>
                <w:color w:val="ED7D31" w:themeColor="accent2"/>
                <w:lang w:val="en-GB"/>
              </w:rPr>
              <w:t>(refers to worksheets 1-5)</w:t>
            </w:r>
          </w:p>
          <w:p w14:paraId="1F12A934" w14:textId="77777777" w:rsidR="00150608" w:rsidRPr="009C08DA" w:rsidRDefault="00150608" w:rsidP="00150608">
            <w:pPr>
              <w:spacing w:line="360" w:lineRule="auto"/>
              <w:ind w:left="113" w:right="113"/>
              <w:jc w:val="both"/>
              <w:rPr>
                <w:rFonts w:ascii="Times New Roman" w:hAnsi="Times New Roman"/>
                <w:b/>
                <w:bCs/>
                <w:i/>
                <w:color w:val="003199"/>
                <w:sz w:val="24"/>
                <w:szCs w:val="24"/>
                <w:u w:val="single"/>
                <w:lang w:val="en-GB"/>
              </w:rPr>
            </w:pPr>
            <w:r>
              <w:rPr>
                <w:rFonts w:ascii="Times New Roman" w:hAnsi="Times New Roman"/>
                <w:i/>
                <w:sz w:val="24"/>
                <w:szCs w:val="24"/>
                <w:lang w:val="en-GB"/>
              </w:rPr>
              <w:t>I</w:t>
            </w:r>
            <w:r w:rsidRPr="009C08DA">
              <w:rPr>
                <w:rFonts w:ascii="Times New Roman" w:hAnsi="Times New Roman"/>
                <w:i/>
                <w:sz w:val="24"/>
                <w:szCs w:val="24"/>
                <w:lang w:val="en-GB"/>
              </w:rPr>
              <w:t xml:space="preserve">ncludes the number and value of payment </w:t>
            </w:r>
            <w:r w:rsidRPr="00354EE8">
              <w:rPr>
                <w:rFonts w:ascii="Times New Roman" w:hAnsi="Times New Roman"/>
                <w:b/>
                <w:i/>
                <w:color w:val="002060"/>
                <w:sz w:val="24"/>
                <w:szCs w:val="24"/>
                <w:lang w:val="en-GB"/>
              </w:rPr>
              <w:t>transactions sent by non-MFIs</w:t>
            </w:r>
            <w:r w:rsidRPr="00354EE8">
              <w:rPr>
                <w:rFonts w:ascii="Times New Roman" w:hAnsi="Times New Roman"/>
                <w:i/>
                <w:color w:val="002060"/>
                <w:sz w:val="24"/>
                <w:szCs w:val="24"/>
                <w:lang w:val="en-GB"/>
              </w:rPr>
              <w:t>.</w:t>
            </w:r>
          </w:p>
        </w:tc>
        <w:tc>
          <w:tcPr>
            <w:tcW w:w="1385" w:type="dxa"/>
            <w:tcBorders>
              <w:top w:val="single" w:sz="24" w:space="0" w:color="FFFFFF"/>
              <w:left w:val="single" w:sz="8" w:space="0" w:color="FFFFFF"/>
              <w:bottom w:val="single" w:sz="12" w:space="0" w:color="A5A5A5"/>
              <w:right w:val="single" w:sz="12" w:space="0" w:color="A5A5A5"/>
            </w:tcBorders>
            <w:shd w:val="clear" w:color="auto" w:fill="D9D9D9"/>
          </w:tcPr>
          <w:p w14:paraId="29F1E5B1" w14:textId="77777777" w:rsidR="00150608" w:rsidRPr="00354EE8" w:rsidRDefault="00150608" w:rsidP="00150608">
            <w:pPr>
              <w:spacing w:line="360" w:lineRule="auto"/>
              <w:ind w:left="113" w:right="113"/>
              <w:rPr>
                <w:rFonts w:ascii="Times New Roman" w:hAnsi="Times New Roman"/>
                <w:b/>
                <w:bCs/>
                <w:color w:val="002060"/>
                <w:sz w:val="24"/>
                <w:szCs w:val="24"/>
                <w:u w:val="single"/>
                <w:lang w:val="en-GB"/>
              </w:rPr>
            </w:pPr>
            <w:r>
              <w:rPr>
                <w:rFonts w:ascii="Times New Roman" w:hAnsi="Times New Roman"/>
                <w:b/>
                <w:color w:val="002060"/>
                <w:sz w:val="24"/>
                <w:szCs w:val="24"/>
                <w:lang w:val="en-GB"/>
              </w:rPr>
              <w:t>T</w:t>
            </w:r>
            <w:r w:rsidRPr="00354EE8">
              <w:rPr>
                <w:rFonts w:ascii="Times New Roman" w:hAnsi="Times New Roman"/>
                <w:b/>
                <w:color w:val="002060"/>
                <w:sz w:val="24"/>
                <w:szCs w:val="24"/>
                <w:lang w:val="en-GB"/>
              </w:rPr>
              <w:t>he CY PSP that offers or accepts the payment services</w:t>
            </w:r>
          </w:p>
        </w:tc>
      </w:tr>
    </w:tbl>
    <w:p w14:paraId="2D454A4A" w14:textId="77777777" w:rsidR="00591697" w:rsidRPr="00760F3B" w:rsidRDefault="00591697" w:rsidP="00EE0BA1">
      <w:pPr>
        <w:pStyle w:val="Heading2"/>
        <w:spacing w:before="360" w:after="120" w:line="360" w:lineRule="auto"/>
        <w:ind w:left="714" w:hanging="357"/>
        <w:jc w:val="both"/>
        <w:rPr>
          <w:rFonts w:ascii="Times New Roman" w:hAnsi="Times New Roman" w:cs="Times New Roman"/>
          <w:color w:val="003199"/>
          <w:sz w:val="28"/>
          <w:szCs w:val="28"/>
          <w:lang w:val="en-GB"/>
        </w:rPr>
      </w:pPr>
      <w:bookmarkStart w:id="10" w:name="_Toc221126443"/>
      <w:r w:rsidRPr="00760F3B">
        <w:rPr>
          <w:rFonts w:ascii="Times New Roman" w:hAnsi="Times New Roman" w:cs="Times New Roman"/>
          <w:color w:val="003199"/>
          <w:sz w:val="28"/>
          <w:szCs w:val="28"/>
          <w:lang w:val="en-GB"/>
        </w:rPr>
        <w:lastRenderedPageBreak/>
        <w:t>Derogations</w:t>
      </w:r>
      <w:bookmarkEnd w:id="10"/>
    </w:p>
    <w:p w14:paraId="563FD2B9" w14:textId="77777777" w:rsidR="00591697" w:rsidRPr="00760F3B"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To enable a single data flow with regard</w:t>
      </w:r>
      <w:r w:rsidR="00325A81">
        <w:rPr>
          <w:rFonts w:ascii="Times New Roman" w:hAnsi="Times New Roman"/>
          <w:sz w:val="24"/>
          <w:szCs w:val="24"/>
          <w:lang w:val="en-GB"/>
        </w:rPr>
        <w:t>s</w:t>
      </w:r>
      <w:r w:rsidRPr="00760F3B">
        <w:rPr>
          <w:rFonts w:ascii="Times New Roman" w:hAnsi="Times New Roman"/>
          <w:sz w:val="24"/>
          <w:szCs w:val="24"/>
          <w:lang w:val="en-GB"/>
        </w:rPr>
        <w:t xml:space="preserve"> to payment statistics reporting, derogations are not envisaged in Cyprus. </w:t>
      </w:r>
      <w:r w:rsidR="00717BF3">
        <w:rPr>
          <w:rFonts w:ascii="Times New Roman" w:hAnsi="Times New Roman"/>
          <w:sz w:val="24"/>
          <w:szCs w:val="24"/>
          <w:lang w:val="en-GB"/>
        </w:rPr>
        <w:t>Therefore</w:t>
      </w:r>
      <w:r w:rsidRPr="00760F3B">
        <w:rPr>
          <w:rFonts w:ascii="Times New Roman" w:hAnsi="Times New Roman"/>
          <w:sz w:val="24"/>
          <w:szCs w:val="24"/>
          <w:lang w:val="en-GB"/>
        </w:rPr>
        <w:t xml:space="preserve">, all PSPs should submit </w:t>
      </w:r>
      <w:r w:rsidR="00717BF3">
        <w:rPr>
          <w:rFonts w:ascii="Times New Roman" w:hAnsi="Times New Roman"/>
          <w:sz w:val="24"/>
          <w:szCs w:val="24"/>
          <w:lang w:val="en-GB"/>
        </w:rPr>
        <w:t xml:space="preserve">the </w:t>
      </w:r>
      <w:r w:rsidRPr="00760F3B">
        <w:rPr>
          <w:rFonts w:ascii="Times New Roman" w:hAnsi="Times New Roman"/>
          <w:sz w:val="24"/>
          <w:szCs w:val="24"/>
          <w:lang w:val="en-GB"/>
        </w:rPr>
        <w:t>statistical information on a quarterly and semi-annual basis.</w:t>
      </w:r>
    </w:p>
    <w:p w14:paraId="6983D4E0" w14:textId="77777777" w:rsidR="00591697" w:rsidRPr="00760F3B" w:rsidRDefault="00591697" w:rsidP="00760F3B">
      <w:pPr>
        <w:pStyle w:val="Heading1"/>
        <w:jc w:val="both"/>
      </w:pPr>
      <w:bookmarkStart w:id="11" w:name="_Toc221126444"/>
      <w:r w:rsidRPr="00760F3B">
        <w:t>Technical information</w:t>
      </w:r>
      <w:bookmarkEnd w:id="11"/>
      <w:r w:rsidRPr="00760F3B">
        <w:t xml:space="preserve"> </w:t>
      </w:r>
    </w:p>
    <w:p w14:paraId="018A9522" w14:textId="77777777" w:rsidR="00591697" w:rsidRPr="00717BF3" w:rsidRDefault="00591697" w:rsidP="00717BF3">
      <w:pPr>
        <w:pStyle w:val="Heading2"/>
        <w:numPr>
          <w:ilvl w:val="0"/>
          <w:numId w:val="25"/>
        </w:numPr>
        <w:spacing w:before="240" w:line="360" w:lineRule="auto"/>
        <w:jc w:val="both"/>
        <w:rPr>
          <w:rFonts w:ascii="Times New Roman" w:hAnsi="Times New Roman" w:cs="Times New Roman"/>
          <w:color w:val="003199"/>
          <w:sz w:val="28"/>
          <w:szCs w:val="28"/>
          <w:lang w:val="en-GB"/>
        </w:rPr>
      </w:pPr>
      <w:bookmarkStart w:id="12" w:name="_Toc221126445"/>
      <w:r w:rsidRPr="00717BF3">
        <w:rPr>
          <w:rFonts w:ascii="Times New Roman" w:hAnsi="Times New Roman" w:cs="Times New Roman"/>
          <w:color w:val="003199"/>
          <w:sz w:val="28"/>
          <w:szCs w:val="28"/>
          <w:lang w:val="en-GB"/>
        </w:rPr>
        <w:t>Reporting Currency</w:t>
      </w:r>
      <w:bookmarkEnd w:id="12"/>
    </w:p>
    <w:p w14:paraId="3C87E137" w14:textId="77777777" w:rsidR="00591697" w:rsidRPr="00760F3B"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The reporting currency shall be Euro.</w:t>
      </w:r>
    </w:p>
    <w:p w14:paraId="43D7C6BC" w14:textId="77777777" w:rsidR="00591697" w:rsidRPr="00760F3B" w:rsidRDefault="00591697" w:rsidP="00760F3B">
      <w:pPr>
        <w:pStyle w:val="Heading2"/>
        <w:spacing w:before="240" w:after="120" w:line="360" w:lineRule="auto"/>
        <w:jc w:val="both"/>
        <w:rPr>
          <w:rFonts w:ascii="Times New Roman" w:hAnsi="Times New Roman" w:cs="Times New Roman"/>
          <w:color w:val="003199"/>
          <w:sz w:val="28"/>
          <w:szCs w:val="28"/>
          <w:lang w:val="en-GB"/>
        </w:rPr>
      </w:pPr>
      <w:bookmarkStart w:id="13" w:name="_Toc221126446"/>
      <w:r w:rsidRPr="00760F3B">
        <w:rPr>
          <w:rFonts w:ascii="Times New Roman" w:hAnsi="Times New Roman" w:cs="Times New Roman"/>
          <w:color w:val="003199"/>
          <w:sz w:val="28"/>
          <w:szCs w:val="28"/>
          <w:lang w:val="en-GB"/>
        </w:rPr>
        <w:t>Exchange rates</w:t>
      </w:r>
      <w:bookmarkEnd w:id="13"/>
    </w:p>
    <w:p w14:paraId="47EFF1BD" w14:textId="459BB64E" w:rsidR="00591697" w:rsidRPr="0023372F"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Flows (i.e. value of transactions), in a currency other than euro, </w:t>
      </w:r>
      <w:r w:rsidR="00325A81">
        <w:rPr>
          <w:rFonts w:ascii="Times New Roman" w:hAnsi="Times New Roman"/>
          <w:sz w:val="24"/>
          <w:szCs w:val="24"/>
          <w:lang w:val="en-GB"/>
        </w:rPr>
        <w:t>are to be converted into euro</w:t>
      </w:r>
      <w:r w:rsidRPr="00760F3B">
        <w:rPr>
          <w:rFonts w:ascii="Times New Roman" w:hAnsi="Times New Roman"/>
          <w:sz w:val="24"/>
          <w:szCs w:val="24"/>
          <w:lang w:val="en-GB"/>
        </w:rPr>
        <w:t xml:space="preserve"> using the exchange rate applied or applicable at the time of the transaction. Alternatively, if exchange rate </w:t>
      </w:r>
      <w:r w:rsidRPr="0023372F">
        <w:rPr>
          <w:rFonts w:ascii="Times New Roman" w:hAnsi="Times New Roman"/>
          <w:sz w:val="24"/>
          <w:szCs w:val="24"/>
          <w:lang w:val="en-GB"/>
        </w:rPr>
        <w:t>applied or applicable at the time of the transaction is not available, the</w:t>
      </w:r>
      <w:r w:rsidR="0023372F">
        <w:rPr>
          <w:rFonts w:ascii="Times New Roman" w:hAnsi="Times New Roman"/>
          <w:sz w:val="24"/>
          <w:szCs w:val="24"/>
          <w:lang w:val="en-GB"/>
        </w:rPr>
        <w:t xml:space="preserve"> ECB</w:t>
      </w:r>
      <w:r w:rsidRPr="0023372F">
        <w:rPr>
          <w:rFonts w:ascii="Times New Roman" w:hAnsi="Times New Roman"/>
          <w:sz w:val="24"/>
          <w:szCs w:val="24"/>
          <w:lang w:val="en-GB"/>
        </w:rPr>
        <w:t xml:space="preserve"> ‘average exchange rate’ of the relevant period should be used. This is applicable </w:t>
      </w:r>
      <w:proofErr w:type="gramStart"/>
      <w:r w:rsidRPr="0023372F">
        <w:rPr>
          <w:rFonts w:ascii="Times New Roman" w:hAnsi="Times New Roman"/>
          <w:sz w:val="24"/>
          <w:szCs w:val="24"/>
          <w:lang w:val="en-GB"/>
        </w:rPr>
        <w:t>i</w:t>
      </w:r>
      <w:r w:rsidR="004A2529" w:rsidRPr="0023372F">
        <w:rPr>
          <w:rFonts w:ascii="Times New Roman" w:hAnsi="Times New Roman"/>
          <w:sz w:val="24"/>
          <w:szCs w:val="24"/>
          <w:lang w:val="en-GB"/>
        </w:rPr>
        <w:t>n particular for</w:t>
      </w:r>
      <w:proofErr w:type="gramEnd"/>
      <w:r w:rsidR="004A2529" w:rsidRPr="0023372F">
        <w:rPr>
          <w:rFonts w:ascii="Times New Roman" w:hAnsi="Times New Roman"/>
          <w:sz w:val="24"/>
          <w:szCs w:val="24"/>
          <w:lang w:val="en-GB"/>
        </w:rPr>
        <w:t xml:space="preserve"> Tables </w:t>
      </w:r>
      <w:r w:rsidR="0051066E" w:rsidRPr="0023372F">
        <w:rPr>
          <w:rFonts w:ascii="Times New Roman" w:hAnsi="Times New Roman"/>
          <w:sz w:val="24"/>
          <w:szCs w:val="24"/>
          <w:lang w:val="en-GB"/>
        </w:rPr>
        <w:t xml:space="preserve">1, </w:t>
      </w:r>
      <w:r w:rsidR="004A2529" w:rsidRPr="0023372F">
        <w:rPr>
          <w:rFonts w:ascii="Times New Roman" w:hAnsi="Times New Roman"/>
          <w:sz w:val="24"/>
          <w:szCs w:val="24"/>
          <w:lang w:val="en-GB"/>
        </w:rPr>
        <w:t>4a,</w:t>
      </w:r>
      <w:r w:rsidR="00E63BB7" w:rsidRPr="0023372F">
        <w:rPr>
          <w:rFonts w:ascii="Times New Roman" w:hAnsi="Times New Roman"/>
          <w:sz w:val="24"/>
          <w:szCs w:val="24"/>
          <w:lang w:val="en-GB"/>
        </w:rPr>
        <w:t xml:space="preserve"> 5a,</w:t>
      </w:r>
      <w:r w:rsidR="004A2529" w:rsidRPr="0023372F">
        <w:rPr>
          <w:rFonts w:ascii="Times New Roman" w:hAnsi="Times New Roman"/>
          <w:sz w:val="24"/>
          <w:szCs w:val="24"/>
          <w:lang w:val="en-GB"/>
        </w:rPr>
        <w:t xml:space="preserve"> </w:t>
      </w:r>
      <w:r w:rsidRPr="0023372F">
        <w:rPr>
          <w:rFonts w:ascii="Times New Roman" w:hAnsi="Times New Roman"/>
          <w:sz w:val="24"/>
          <w:szCs w:val="24"/>
          <w:lang w:val="en-GB"/>
        </w:rPr>
        <w:t>6, 8 and 9.</w:t>
      </w:r>
    </w:p>
    <w:p w14:paraId="7C27786B" w14:textId="114042D2" w:rsidR="00930274" w:rsidRDefault="0023372F" w:rsidP="00222E80">
      <w:pPr>
        <w:spacing w:before="60" w:after="12" w:line="360" w:lineRule="auto"/>
        <w:jc w:val="both"/>
        <w:rPr>
          <w:rFonts w:ascii="Times New Roman" w:hAnsi="Times New Roman"/>
          <w:sz w:val="24"/>
          <w:szCs w:val="24"/>
          <w:lang w:val="en-GB"/>
        </w:rPr>
      </w:pPr>
      <w:r>
        <w:rPr>
          <w:rFonts w:ascii="Times New Roman" w:hAnsi="Times New Roman"/>
          <w:sz w:val="24"/>
          <w:szCs w:val="24"/>
          <w:lang w:val="en-GB"/>
        </w:rPr>
        <w:t xml:space="preserve">The ECB </w:t>
      </w:r>
      <w:r w:rsidRPr="0023372F">
        <w:rPr>
          <w:rFonts w:ascii="Times New Roman" w:hAnsi="Times New Roman"/>
          <w:sz w:val="24"/>
          <w:szCs w:val="24"/>
          <w:lang w:val="en-GB"/>
        </w:rPr>
        <w:t xml:space="preserve">‘average exchange rate’ </w:t>
      </w:r>
      <w:r>
        <w:rPr>
          <w:rFonts w:ascii="Times New Roman" w:hAnsi="Times New Roman"/>
          <w:sz w:val="24"/>
          <w:szCs w:val="24"/>
          <w:lang w:val="en-GB"/>
        </w:rPr>
        <w:t>can be found in the web link</w:t>
      </w:r>
      <w:r w:rsidR="00930274">
        <w:rPr>
          <w:rFonts w:ascii="Times New Roman" w:hAnsi="Times New Roman"/>
          <w:sz w:val="24"/>
          <w:szCs w:val="24"/>
          <w:lang w:val="en-GB"/>
        </w:rPr>
        <w:t xml:space="preserve"> </w:t>
      </w:r>
      <w:hyperlink r:id="rId10" w:history="1">
        <w:r w:rsidR="00930274" w:rsidRPr="00930274">
          <w:rPr>
            <w:rStyle w:val="Hyperlink"/>
            <w:rFonts w:ascii="Times New Roman" w:hAnsi="Times New Roman"/>
            <w:sz w:val="24"/>
            <w:szCs w:val="24"/>
            <w:lang w:val="en-US"/>
          </w:rPr>
          <w:t>Euro foreign exchange reference rates</w:t>
        </w:r>
      </w:hyperlink>
      <w:r w:rsidRPr="0023372F">
        <w:rPr>
          <w:rFonts w:ascii="Times New Roman" w:hAnsi="Times New Roman"/>
          <w:sz w:val="24"/>
          <w:szCs w:val="24"/>
          <w:lang w:val="en-GB"/>
        </w:rPr>
        <w:t xml:space="preserve">.  </w:t>
      </w:r>
      <w:r w:rsidR="00930274">
        <w:rPr>
          <w:rFonts w:ascii="Times New Roman" w:hAnsi="Times New Roman"/>
          <w:sz w:val="24"/>
          <w:szCs w:val="24"/>
          <w:lang w:val="en-GB"/>
        </w:rPr>
        <w:t>You need to scroll down to find the currency you want, select it and then indicate the period you want.</w:t>
      </w:r>
    </w:p>
    <w:p w14:paraId="5B19B886" w14:textId="77777777" w:rsidR="00591697" w:rsidRPr="00760F3B" w:rsidRDefault="00591697" w:rsidP="00760F3B">
      <w:pPr>
        <w:pStyle w:val="Heading2"/>
        <w:spacing w:before="240" w:after="120" w:line="360" w:lineRule="auto"/>
        <w:jc w:val="both"/>
        <w:rPr>
          <w:rFonts w:ascii="Times New Roman" w:hAnsi="Times New Roman" w:cs="Times New Roman"/>
          <w:color w:val="003199"/>
          <w:sz w:val="28"/>
          <w:szCs w:val="28"/>
          <w:lang w:val="en-GB"/>
        </w:rPr>
      </w:pPr>
      <w:bookmarkStart w:id="14" w:name="_Toc221126447"/>
      <w:proofErr w:type="spellStart"/>
      <w:r w:rsidRPr="00760F3B">
        <w:rPr>
          <w:rFonts w:ascii="Times New Roman" w:hAnsi="Times New Roman" w:cs="Times New Roman"/>
          <w:color w:val="003199"/>
          <w:sz w:val="28"/>
          <w:szCs w:val="28"/>
        </w:rPr>
        <w:t>Units</w:t>
      </w:r>
      <w:proofErr w:type="spellEnd"/>
      <w:r w:rsidRPr="00760F3B">
        <w:rPr>
          <w:rFonts w:ascii="Times New Roman" w:hAnsi="Times New Roman" w:cs="Times New Roman"/>
          <w:color w:val="003199"/>
          <w:sz w:val="28"/>
          <w:szCs w:val="28"/>
        </w:rPr>
        <w:t xml:space="preserve"> of </w:t>
      </w:r>
      <w:proofErr w:type="spellStart"/>
      <w:r w:rsidRPr="00760F3B">
        <w:rPr>
          <w:rFonts w:ascii="Times New Roman" w:hAnsi="Times New Roman" w:cs="Times New Roman"/>
          <w:color w:val="003199"/>
          <w:sz w:val="28"/>
          <w:szCs w:val="28"/>
        </w:rPr>
        <w:t>measurement</w:t>
      </w:r>
      <w:bookmarkEnd w:id="14"/>
      <w:proofErr w:type="spellEnd"/>
      <w:r w:rsidRPr="00760F3B">
        <w:rPr>
          <w:rFonts w:ascii="Times New Roman" w:hAnsi="Times New Roman" w:cs="Times New Roman"/>
          <w:color w:val="003199"/>
          <w:sz w:val="28"/>
          <w:szCs w:val="28"/>
          <w:lang w:val="en-GB"/>
        </w:rPr>
        <w:t xml:space="preserve"> </w:t>
      </w:r>
    </w:p>
    <w:p w14:paraId="04C8D6DB" w14:textId="77777777" w:rsidR="00591697" w:rsidRDefault="002E4DF4" w:rsidP="00760F3B">
      <w:pPr>
        <w:spacing w:before="60" w:after="12" w:line="360" w:lineRule="auto"/>
        <w:jc w:val="both"/>
        <w:rPr>
          <w:rFonts w:ascii="Times New Roman" w:hAnsi="Times New Roman"/>
          <w:sz w:val="24"/>
          <w:szCs w:val="24"/>
          <w:lang w:val="en-GB"/>
        </w:rPr>
      </w:pPr>
      <w:r>
        <w:rPr>
          <w:rFonts w:ascii="Times New Roman" w:hAnsi="Times New Roman"/>
          <w:sz w:val="24"/>
          <w:szCs w:val="24"/>
          <w:lang w:val="en-GB"/>
        </w:rPr>
        <w:t>Figure 2 provides a simplified overview of t</w:t>
      </w:r>
      <w:r w:rsidR="00591697" w:rsidRPr="00760F3B">
        <w:rPr>
          <w:rFonts w:ascii="Times New Roman" w:hAnsi="Times New Roman"/>
          <w:sz w:val="24"/>
          <w:szCs w:val="24"/>
          <w:lang w:val="en-GB"/>
        </w:rPr>
        <w:t xml:space="preserve">he units of measurement </w:t>
      </w:r>
      <w:r w:rsidR="00325A81">
        <w:rPr>
          <w:rFonts w:ascii="Times New Roman" w:hAnsi="Times New Roman"/>
          <w:sz w:val="24"/>
          <w:szCs w:val="24"/>
          <w:lang w:val="en-GB"/>
        </w:rPr>
        <w:t xml:space="preserve">for </w:t>
      </w:r>
      <w:r>
        <w:rPr>
          <w:rFonts w:ascii="Times New Roman" w:hAnsi="Times New Roman"/>
          <w:sz w:val="24"/>
          <w:szCs w:val="24"/>
          <w:lang w:val="en-GB"/>
        </w:rPr>
        <w:t>each table</w:t>
      </w:r>
      <w:r w:rsidR="00590447">
        <w:rPr>
          <w:rFonts w:ascii="Times New Roman" w:hAnsi="Times New Roman"/>
          <w:sz w:val="24"/>
          <w:szCs w:val="24"/>
          <w:lang w:val="en-GB"/>
        </w:rPr>
        <w:t xml:space="preserve"> in the reporting template</w:t>
      </w:r>
      <w:r>
        <w:rPr>
          <w:rFonts w:ascii="Times New Roman" w:hAnsi="Times New Roman"/>
          <w:sz w:val="24"/>
          <w:szCs w:val="24"/>
          <w:lang w:val="en-GB"/>
        </w:rPr>
        <w:t>.</w:t>
      </w:r>
    </w:p>
    <w:p w14:paraId="27E751CC" w14:textId="77777777" w:rsidR="00FE0876" w:rsidRPr="00FE0876" w:rsidRDefault="00FE0876" w:rsidP="00FE0876">
      <w:pPr>
        <w:spacing w:after="12" w:line="360" w:lineRule="auto"/>
        <w:jc w:val="both"/>
        <w:rPr>
          <w:rFonts w:ascii="Times New Roman" w:hAnsi="Times New Roman"/>
          <w:b/>
          <w:lang w:val="en-GB"/>
        </w:rPr>
      </w:pPr>
      <w:r w:rsidRPr="00FE0876">
        <w:rPr>
          <w:rFonts w:ascii="Times New Roman" w:hAnsi="Times New Roman"/>
          <w:b/>
          <w:lang w:val="en-GB"/>
        </w:rPr>
        <w:t>Figure</w:t>
      </w:r>
      <w:r>
        <w:rPr>
          <w:rFonts w:ascii="Times New Roman" w:hAnsi="Times New Roman"/>
          <w:b/>
          <w:lang w:val="en-GB"/>
        </w:rPr>
        <w:t xml:space="preserve"> 2</w:t>
      </w:r>
    </w:p>
    <w:p w14:paraId="7039C876" w14:textId="77777777" w:rsidR="00FE0876" w:rsidRPr="00760F3B" w:rsidRDefault="002E4DF4" w:rsidP="00FE0876">
      <w:pPr>
        <w:spacing w:after="12" w:line="360" w:lineRule="auto"/>
        <w:jc w:val="both"/>
        <w:rPr>
          <w:rFonts w:ascii="Times New Roman" w:hAnsi="Times New Roman"/>
          <w:lang w:val="en-GB"/>
        </w:rPr>
      </w:pPr>
      <w:r>
        <w:rPr>
          <w:rFonts w:ascii="Times New Roman" w:hAnsi="Times New Roman"/>
          <w:lang w:val="en-GB"/>
        </w:rPr>
        <w:t>U</w:t>
      </w:r>
      <w:r w:rsidR="00FE0876">
        <w:rPr>
          <w:rFonts w:ascii="Times New Roman" w:hAnsi="Times New Roman"/>
          <w:lang w:val="en-GB"/>
        </w:rPr>
        <w:t>nits of measurement</w:t>
      </w:r>
    </w:p>
    <w:tbl>
      <w:tblPr>
        <w:tblStyle w:val="ListTable5Dark-Accent3"/>
        <w:tblW w:w="10446" w:type="dxa"/>
        <w:tblLook w:val="0620" w:firstRow="1" w:lastRow="0" w:firstColumn="0" w:lastColumn="0" w:noHBand="1" w:noVBand="1"/>
      </w:tblPr>
      <w:tblGrid>
        <w:gridCol w:w="2869"/>
        <w:gridCol w:w="7577"/>
      </w:tblGrid>
      <w:tr w:rsidR="00591697" w:rsidRPr="00760F3B" w14:paraId="1786238F" w14:textId="77777777" w:rsidTr="00FA225B">
        <w:trPr>
          <w:cnfStyle w:val="100000000000" w:firstRow="1" w:lastRow="0" w:firstColumn="0" w:lastColumn="0" w:oddVBand="0" w:evenVBand="0" w:oddHBand="0" w:evenHBand="0" w:firstRowFirstColumn="0" w:firstRowLastColumn="0" w:lastRowFirstColumn="0" w:lastRowLastColumn="0"/>
          <w:trHeight w:hRule="exact" w:val="522"/>
        </w:trPr>
        <w:tc>
          <w:tcPr>
            <w:tcW w:w="2869" w:type="dxa"/>
            <w:tcBorders>
              <w:top w:val="single" w:sz="8" w:space="0" w:color="A5A5A5"/>
              <w:left w:val="single" w:sz="8" w:space="0" w:color="A5A5A5"/>
              <w:bottom w:val="single" w:sz="4" w:space="0" w:color="FFFFFF" w:themeColor="background1"/>
              <w:right w:val="single" w:sz="4" w:space="0" w:color="FFFFFF" w:themeColor="background1"/>
            </w:tcBorders>
            <w:shd w:val="clear" w:color="auto" w:fill="002060"/>
          </w:tcPr>
          <w:p w14:paraId="73CC5066" w14:textId="77777777" w:rsidR="00591697" w:rsidRPr="00760F3B" w:rsidRDefault="00591697" w:rsidP="00760F3B">
            <w:pPr>
              <w:spacing w:after="240"/>
              <w:jc w:val="both"/>
              <w:rPr>
                <w:rFonts w:ascii="Times New Roman" w:hAnsi="Times New Roman"/>
                <w:sz w:val="24"/>
                <w:szCs w:val="24"/>
                <w:lang w:val="en-GB"/>
              </w:rPr>
            </w:pPr>
            <w:r w:rsidRPr="00760F3B">
              <w:rPr>
                <w:rFonts w:ascii="Times New Roman" w:hAnsi="Times New Roman"/>
                <w:sz w:val="24"/>
                <w:szCs w:val="24"/>
                <w:lang w:val="en-GB"/>
              </w:rPr>
              <w:t>Statistical information</w:t>
            </w:r>
          </w:p>
        </w:tc>
        <w:tc>
          <w:tcPr>
            <w:tcW w:w="7577" w:type="dxa"/>
            <w:tcBorders>
              <w:top w:val="single" w:sz="8" w:space="0" w:color="A5A5A5"/>
              <w:left w:val="single" w:sz="4" w:space="0" w:color="FFFFFF" w:themeColor="background1"/>
              <w:bottom w:val="single" w:sz="4" w:space="0" w:color="FFFFFF" w:themeColor="background1"/>
              <w:right w:val="single" w:sz="8" w:space="0" w:color="A5A5A5"/>
            </w:tcBorders>
            <w:shd w:val="clear" w:color="auto" w:fill="002060"/>
          </w:tcPr>
          <w:p w14:paraId="00354AE0" w14:textId="77777777" w:rsidR="00591697" w:rsidRPr="00760F3B" w:rsidRDefault="00591697" w:rsidP="00760F3B">
            <w:pPr>
              <w:jc w:val="both"/>
              <w:rPr>
                <w:rFonts w:ascii="Times New Roman" w:hAnsi="Times New Roman"/>
                <w:sz w:val="24"/>
                <w:szCs w:val="24"/>
                <w:lang w:val="en-GB"/>
              </w:rPr>
            </w:pPr>
            <w:r w:rsidRPr="00760F3B">
              <w:rPr>
                <w:rFonts w:ascii="Times New Roman" w:hAnsi="Times New Roman"/>
                <w:sz w:val="24"/>
                <w:szCs w:val="24"/>
                <w:lang w:val="en-GB"/>
              </w:rPr>
              <w:t>Units of measurement</w:t>
            </w:r>
          </w:p>
        </w:tc>
      </w:tr>
      <w:tr w:rsidR="00591697" w:rsidRPr="00C5314E" w14:paraId="48DDB423" w14:textId="77777777" w:rsidTr="00FA225B">
        <w:trPr>
          <w:trHeight w:hRule="exact" w:val="620"/>
        </w:trPr>
        <w:tc>
          <w:tcPr>
            <w:tcW w:w="2869" w:type="dxa"/>
            <w:tcBorders>
              <w:top w:val="single" w:sz="4" w:space="0" w:color="FFFFFF" w:themeColor="background1"/>
              <w:left w:val="single" w:sz="8" w:space="0" w:color="A5A5A5"/>
              <w:bottom w:val="single" w:sz="4" w:space="0" w:color="FFFFFF" w:themeColor="background1"/>
              <w:right w:val="single" w:sz="4" w:space="0" w:color="FFFFFF" w:themeColor="background1"/>
            </w:tcBorders>
            <w:shd w:val="clear" w:color="auto" w:fill="D9D9D9" w:themeFill="background1" w:themeFillShade="D9"/>
            <w:vAlign w:val="center"/>
          </w:tcPr>
          <w:p w14:paraId="100ED090" w14:textId="77777777" w:rsidR="00591697" w:rsidRPr="00760F3B" w:rsidRDefault="001B224D" w:rsidP="00EB7950">
            <w:pPr>
              <w:spacing w:line="360" w:lineRule="auto"/>
              <w:jc w:val="both"/>
              <w:rPr>
                <w:rFonts w:ascii="Times New Roman" w:hAnsi="Times New Roman"/>
                <w:color w:val="auto"/>
                <w:sz w:val="24"/>
                <w:szCs w:val="24"/>
                <w:lang w:val="en-GB"/>
              </w:rPr>
            </w:pPr>
            <w:r>
              <w:rPr>
                <w:rFonts w:ascii="Times New Roman" w:hAnsi="Times New Roman"/>
                <w:color w:val="auto"/>
                <w:sz w:val="24"/>
                <w:szCs w:val="24"/>
                <w:lang w:val="en-GB"/>
              </w:rPr>
              <w:t>Table</w:t>
            </w:r>
            <w:r w:rsidR="00EB7950">
              <w:rPr>
                <w:rFonts w:ascii="Times New Roman" w:hAnsi="Times New Roman"/>
                <w:color w:val="auto"/>
                <w:sz w:val="24"/>
                <w:szCs w:val="24"/>
                <w:lang w:val="en-GB"/>
              </w:rPr>
              <w:t>s</w:t>
            </w:r>
            <w:r>
              <w:rPr>
                <w:rFonts w:ascii="Times New Roman" w:hAnsi="Times New Roman"/>
                <w:color w:val="auto"/>
                <w:sz w:val="24"/>
                <w:szCs w:val="24"/>
                <w:lang w:val="en-GB"/>
              </w:rPr>
              <w:t xml:space="preserve"> 1, </w:t>
            </w:r>
            <w:r w:rsidR="00591697" w:rsidRPr="00760F3B">
              <w:rPr>
                <w:rFonts w:ascii="Times New Roman" w:hAnsi="Times New Roman"/>
                <w:color w:val="auto"/>
                <w:sz w:val="24"/>
                <w:szCs w:val="24"/>
                <w:lang w:val="en-GB"/>
              </w:rPr>
              <w:t>2, 3 and 7</w:t>
            </w:r>
          </w:p>
        </w:tc>
        <w:tc>
          <w:tcPr>
            <w:tcW w:w="7577" w:type="dxa"/>
            <w:tcBorders>
              <w:top w:val="single" w:sz="4" w:space="0" w:color="FFFFFF" w:themeColor="background1"/>
              <w:left w:val="single" w:sz="4" w:space="0" w:color="FFFFFF" w:themeColor="background1"/>
              <w:bottom w:val="single" w:sz="4" w:space="0" w:color="FFFFFF" w:themeColor="background1"/>
              <w:right w:val="single" w:sz="8" w:space="0" w:color="A5A5A5"/>
            </w:tcBorders>
            <w:shd w:val="clear" w:color="auto" w:fill="D9D9D9" w:themeFill="background1" w:themeFillShade="D9"/>
            <w:vAlign w:val="center"/>
          </w:tcPr>
          <w:p w14:paraId="2363DB38" w14:textId="77777777" w:rsidR="00591697" w:rsidRPr="00760F3B" w:rsidRDefault="00591697" w:rsidP="004A2529">
            <w:pPr>
              <w:spacing w:line="360" w:lineRule="auto"/>
              <w:jc w:val="both"/>
              <w:rPr>
                <w:rFonts w:ascii="Times New Roman" w:hAnsi="Times New Roman"/>
                <w:color w:val="auto"/>
                <w:sz w:val="24"/>
                <w:szCs w:val="24"/>
                <w:lang w:val="en-GB"/>
              </w:rPr>
            </w:pPr>
            <w:r w:rsidRPr="00760F3B">
              <w:rPr>
                <w:rFonts w:ascii="Times New Roman" w:hAnsi="Times New Roman"/>
                <w:color w:val="auto"/>
                <w:sz w:val="24"/>
                <w:szCs w:val="24"/>
                <w:lang w:val="en-GB"/>
              </w:rPr>
              <w:t xml:space="preserve">End of period, </w:t>
            </w:r>
            <w:r w:rsidRPr="00760F3B">
              <w:rPr>
                <w:rFonts w:ascii="Times New Roman" w:hAnsi="Times New Roman"/>
                <w:b/>
                <w:color w:val="003199"/>
                <w:sz w:val="24"/>
                <w:szCs w:val="24"/>
                <w:lang w:val="en-GB"/>
              </w:rPr>
              <w:t>original units</w:t>
            </w:r>
          </w:p>
        </w:tc>
      </w:tr>
      <w:tr w:rsidR="00591697" w:rsidRPr="00C5314E" w14:paraId="09B9D838" w14:textId="77777777" w:rsidTr="00FA225B">
        <w:trPr>
          <w:trHeight w:hRule="exact" w:val="1097"/>
        </w:trPr>
        <w:tc>
          <w:tcPr>
            <w:tcW w:w="2869" w:type="dxa"/>
            <w:tcBorders>
              <w:top w:val="single" w:sz="4" w:space="0" w:color="FFFFFF" w:themeColor="background1"/>
              <w:left w:val="single" w:sz="8" w:space="0" w:color="A5A5A5"/>
              <w:bottom w:val="single" w:sz="8" w:space="0" w:color="A5A5A5"/>
              <w:right w:val="single" w:sz="4" w:space="0" w:color="FFFFFF" w:themeColor="background1"/>
            </w:tcBorders>
            <w:shd w:val="clear" w:color="auto" w:fill="D9D9D9" w:themeFill="background1" w:themeFillShade="D9"/>
            <w:vAlign w:val="center"/>
          </w:tcPr>
          <w:p w14:paraId="7C5488FD" w14:textId="77777777" w:rsidR="00591697" w:rsidRPr="00760F3B" w:rsidRDefault="00022C44" w:rsidP="00EB7950">
            <w:pPr>
              <w:spacing w:line="360" w:lineRule="auto"/>
              <w:jc w:val="both"/>
              <w:rPr>
                <w:rFonts w:ascii="Times New Roman" w:hAnsi="Times New Roman"/>
                <w:color w:val="auto"/>
                <w:sz w:val="24"/>
                <w:szCs w:val="24"/>
                <w:lang w:val="en-GB"/>
              </w:rPr>
            </w:pPr>
            <w:r>
              <w:rPr>
                <w:rFonts w:ascii="Times New Roman" w:hAnsi="Times New Roman"/>
                <w:color w:val="auto"/>
                <w:sz w:val="24"/>
                <w:szCs w:val="24"/>
                <w:lang w:val="en-GB"/>
              </w:rPr>
              <w:t>Table</w:t>
            </w:r>
            <w:r w:rsidR="00EB7950">
              <w:rPr>
                <w:rFonts w:ascii="Times New Roman" w:hAnsi="Times New Roman"/>
                <w:color w:val="auto"/>
                <w:sz w:val="24"/>
                <w:szCs w:val="24"/>
                <w:lang w:val="en-GB"/>
              </w:rPr>
              <w:t>s</w:t>
            </w:r>
            <w:r w:rsidR="006412E2">
              <w:rPr>
                <w:rFonts w:ascii="Times New Roman" w:hAnsi="Times New Roman"/>
                <w:color w:val="auto"/>
                <w:sz w:val="24"/>
                <w:szCs w:val="24"/>
                <w:lang w:val="en-GB"/>
              </w:rPr>
              <w:t xml:space="preserve"> 1, </w:t>
            </w:r>
            <w:r>
              <w:rPr>
                <w:rFonts w:ascii="Times New Roman" w:hAnsi="Times New Roman"/>
                <w:color w:val="auto"/>
                <w:sz w:val="24"/>
                <w:szCs w:val="24"/>
                <w:lang w:val="en-GB"/>
              </w:rPr>
              <w:t>4a,</w:t>
            </w:r>
            <w:r w:rsidR="00E63BB7">
              <w:rPr>
                <w:rFonts w:ascii="Times New Roman" w:hAnsi="Times New Roman"/>
                <w:color w:val="auto"/>
                <w:sz w:val="24"/>
                <w:szCs w:val="24"/>
                <w:lang w:val="en-GB"/>
              </w:rPr>
              <w:t xml:space="preserve"> 5a,</w:t>
            </w:r>
            <w:r w:rsidR="00591697" w:rsidRPr="00760F3B">
              <w:rPr>
                <w:rFonts w:ascii="Times New Roman" w:hAnsi="Times New Roman"/>
                <w:color w:val="auto"/>
                <w:sz w:val="24"/>
                <w:szCs w:val="24"/>
                <w:lang w:val="en-GB"/>
              </w:rPr>
              <w:t xml:space="preserve"> 6, 8 and 9</w:t>
            </w:r>
          </w:p>
        </w:tc>
        <w:tc>
          <w:tcPr>
            <w:tcW w:w="7577" w:type="dxa"/>
            <w:tcBorders>
              <w:top w:val="single" w:sz="4" w:space="0" w:color="FFFFFF" w:themeColor="background1"/>
              <w:left w:val="single" w:sz="4" w:space="0" w:color="FFFFFF" w:themeColor="background1"/>
              <w:bottom w:val="single" w:sz="8" w:space="0" w:color="A5A5A5"/>
              <w:right w:val="single" w:sz="8" w:space="0" w:color="A5A5A5"/>
            </w:tcBorders>
            <w:shd w:val="clear" w:color="auto" w:fill="D9D9D9" w:themeFill="background1" w:themeFillShade="D9"/>
            <w:vAlign w:val="center"/>
          </w:tcPr>
          <w:p w14:paraId="52184FCA" w14:textId="77777777" w:rsidR="00591697" w:rsidRPr="00760F3B" w:rsidRDefault="00591697" w:rsidP="0022373D">
            <w:pPr>
              <w:spacing w:line="360" w:lineRule="auto"/>
              <w:jc w:val="both"/>
              <w:rPr>
                <w:rFonts w:ascii="Times New Roman" w:hAnsi="Times New Roman"/>
                <w:color w:val="auto"/>
                <w:sz w:val="24"/>
                <w:szCs w:val="24"/>
                <w:lang w:val="en-GB"/>
              </w:rPr>
            </w:pPr>
            <w:r w:rsidRPr="00760F3B">
              <w:rPr>
                <w:rFonts w:ascii="Times New Roman" w:hAnsi="Times New Roman"/>
                <w:color w:val="auto"/>
                <w:sz w:val="24"/>
                <w:szCs w:val="24"/>
                <w:lang w:val="en-GB"/>
              </w:rPr>
              <w:t>Total for the period, actual number of transactions; actual value of transactions</w:t>
            </w:r>
            <w:r w:rsidR="0022373D">
              <w:rPr>
                <w:rFonts w:ascii="Times New Roman" w:hAnsi="Times New Roman"/>
                <w:color w:val="auto"/>
                <w:sz w:val="24"/>
                <w:szCs w:val="24"/>
                <w:lang w:val="en-GB"/>
              </w:rPr>
              <w:t xml:space="preserve"> </w:t>
            </w:r>
            <w:r w:rsidR="0022373D">
              <w:rPr>
                <w:rFonts w:ascii="Times New Roman" w:hAnsi="Times New Roman"/>
                <w:b/>
                <w:color w:val="003199"/>
                <w:sz w:val="24"/>
                <w:szCs w:val="24"/>
                <w:lang w:val="en-GB"/>
              </w:rPr>
              <w:t>in EUR</w:t>
            </w:r>
            <w:r w:rsidR="00160EFA">
              <w:rPr>
                <w:rFonts w:ascii="Times New Roman" w:hAnsi="Times New Roman"/>
                <w:color w:val="auto"/>
                <w:sz w:val="24"/>
                <w:szCs w:val="24"/>
                <w:lang w:val="en-GB"/>
              </w:rPr>
              <w:t xml:space="preserve"> rounded </w:t>
            </w:r>
            <w:r w:rsidR="0022373D">
              <w:rPr>
                <w:rFonts w:ascii="Times New Roman" w:hAnsi="Times New Roman"/>
                <w:color w:val="auto"/>
                <w:sz w:val="24"/>
                <w:szCs w:val="24"/>
                <w:lang w:val="en-GB"/>
              </w:rPr>
              <w:t>to</w:t>
            </w:r>
            <w:r w:rsidR="00160EFA">
              <w:rPr>
                <w:rFonts w:ascii="Times New Roman" w:hAnsi="Times New Roman"/>
                <w:color w:val="auto"/>
                <w:sz w:val="24"/>
                <w:szCs w:val="24"/>
                <w:lang w:val="en-GB"/>
              </w:rPr>
              <w:t xml:space="preserve"> the nearest </w:t>
            </w:r>
            <w:r w:rsidR="00FA225B">
              <w:rPr>
                <w:rFonts w:ascii="Times New Roman" w:hAnsi="Times New Roman"/>
                <w:b/>
                <w:color w:val="003199"/>
                <w:sz w:val="24"/>
                <w:szCs w:val="24"/>
                <w:lang w:val="en-GB"/>
              </w:rPr>
              <w:t>whole number (</w:t>
            </w:r>
            <w:r w:rsidR="00FA225B" w:rsidRPr="00FA225B">
              <w:rPr>
                <w:rFonts w:ascii="Times New Roman" w:hAnsi="Times New Roman"/>
                <w:b/>
                <w:color w:val="003199"/>
                <w:sz w:val="24"/>
                <w:szCs w:val="24"/>
                <w:lang w:val="en-GB"/>
              </w:rPr>
              <w:t>do not include fractions,</w:t>
            </w:r>
            <w:r w:rsidR="00FA225B">
              <w:rPr>
                <w:rFonts w:ascii="Times New Roman" w:hAnsi="Times New Roman"/>
                <w:b/>
                <w:color w:val="003199"/>
                <w:sz w:val="24"/>
                <w:szCs w:val="24"/>
                <w:lang w:val="en-GB"/>
              </w:rPr>
              <w:t xml:space="preserve"> or</w:t>
            </w:r>
            <w:r w:rsidR="00FA225B" w:rsidRPr="00FA225B">
              <w:rPr>
                <w:rFonts w:ascii="Times New Roman" w:hAnsi="Times New Roman"/>
                <w:b/>
                <w:color w:val="003199"/>
                <w:sz w:val="24"/>
                <w:szCs w:val="24"/>
                <w:lang w:val="en-GB"/>
              </w:rPr>
              <w:t xml:space="preserve"> decimals</w:t>
            </w:r>
            <w:r w:rsidR="00FA225B">
              <w:rPr>
                <w:rFonts w:ascii="Times New Roman" w:hAnsi="Times New Roman"/>
                <w:b/>
                <w:color w:val="003199"/>
                <w:sz w:val="24"/>
                <w:szCs w:val="24"/>
                <w:lang w:val="en-GB"/>
              </w:rPr>
              <w:t xml:space="preserve">) </w:t>
            </w:r>
          </w:p>
        </w:tc>
      </w:tr>
    </w:tbl>
    <w:p w14:paraId="39A89C09" w14:textId="77777777" w:rsidR="00591697" w:rsidRPr="00760F3B" w:rsidRDefault="00591697" w:rsidP="00B07A05">
      <w:pPr>
        <w:pStyle w:val="Heading2"/>
        <w:spacing w:before="360" w:after="120" w:line="360" w:lineRule="auto"/>
        <w:ind w:left="714" w:hanging="357"/>
        <w:jc w:val="both"/>
        <w:rPr>
          <w:rFonts w:ascii="Times New Roman" w:hAnsi="Times New Roman" w:cs="Times New Roman"/>
          <w:color w:val="003199"/>
          <w:sz w:val="28"/>
          <w:szCs w:val="28"/>
        </w:rPr>
      </w:pPr>
      <w:bookmarkStart w:id="15" w:name="_Toc221126448"/>
      <w:r w:rsidRPr="00760F3B">
        <w:rPr>
          <w:rFonts w:ascii="Times New Roman" w:hAnsi="Times New Roman" w:cs="Times New Roman"/>
          <w:color w:val="003199"/>
          <w:sz w:val="28"/>
          <w:szCs w:val="28"/>
        </w:rPr>
        <w:lastRenderedPageBreak/>
        <w:t xml:space="preserve">Data </w:t>
      </w:r>
      <w:proofErr w:type="spellStart"/>
      <w:r w:rsidRPr="00760F3B">
        <w:rPr>
          <w:rFonts w:ascii="Times New Roman" w:hAnsi="Times New Roman" w:cs="Times New Roman"/>
          <w:color w:val="003199"/>
          <w:sz w:val="28"/>
          <w:szCs w:val="28"/>
        </w:rPr>
        <w:t>transmission</w:t>
      </w:r>
      <w:bookmarkEnd w:id="15"/>
      <w:proofErr w:type="spellEnd"/>
    </w:p>
    <w:p w14:paraId="1476C7E2" w14:textId="77777777" w:rsidR="002E1E90" w:rsidRDefault="00591697" w:rsidP="00CE6772">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Reporting </w:t>
      </w:r>
      <w:r w:rsidR="000639FF">
        <w:rPr>
          <w:rFonts w:ascii="Times New Roman" w:hAnsi="Times New Roman"/>
          <w:sz w:val="24"/>
          <w:szCs w:val="24"/>
          <w:lang w:val="en-GB"/>
        </w:rPr>
        <w:t>A</w:t>
      </w:r>
      <w:r w:rsidRPr="00760F3B">
        <w:rPr>
          <w:rFonts w:ascii="Times New Roman" w:hAnsi="Times New Roman"/>
          <w:sz w:val="24"/>
          <w:szCs w:val="24"/>
          <w:lang w:val="en-GB"/>
        </w:rPr>
        <w:t xml:space="preserve">gents shall complete and submit the </w:t>
      </w:r>
      <w:r w:rsidR="008107D3">
        <w:rPr>
          <w:rFonts w:ascii="Times New Roman" w:hAnsi="Times New Roman"/>
          <w:sz w:val="24"/>
          <w:szCs w:val="24"/>
          <w:lang w:val="en-GB"/>
        </w:rPr>
        <w:t>excel-</w:t>
      </w:r>
      <w:r w:rsidRPr="00760F3B">
        <w:rPr>
          <w:rFonts w:ascii="Times New Roman" w:hAnsi="Times New Roman"/>
          <w:sz w:val="24"/>
          <w:szCs w:val="24"/>
          <w:lang w:val="en-GB"/>
        </w:rPr>
        <w:t>reporting templates through the e-business (FX) platform of</w:t>
      </w:r>
      <w:r w:rsidR="00DA28E7">
        <w:rPr>
          <w:rFonts w:ascii="Times New Roman" w:hAnsi="Times New Roman"/>
          <w:sz w:val="24"/>
          <w:szCs w:val="24"/>
          <w:lang w:val="en-GB"/>
        </w:rPr>
        <w:t xml:space="preserve"> the</w:t>
      </w:r>
      <w:r w:rsidRPr="00760F3B">
        <w:rPr>
          <w:rFonts w:ascii="Times New Roman" w:hAnsi="Times New Roman"/>
          <w:sz w:val="24"/>
          <w:szCs w:val="24"/>
          <w:lang w:val="en-GB"/>
        </w:rPr>
        <w:t xml:space="preserve"> CBC.</w:t>
      </w:r>
      <w:r w:rsidR="00CE6772">
        <w:rPr>
          <w:rFonts w:ascii="Times New Roman" w:hAnsi="Times New Roman"/>
          <w:sz w:val="24"/>
          <w:szCs w:val="24"/>
          <w:lang w:val="en-GB"/>
        </w:rPr>
        <w:t xml:space="preserve"> </w:t>
      </w:r>
      <w:r w:rsidR="003F5397">
        <w:rPr>
          <w:rFonts w:ascii="Times New Roman" w:hAnsi="Times New Roman"/>
          <w:sz w:val="24"/>
          <w:szCs w:val="24"/>
          <w:lang w:val="en-GB"/>
        </w:rPr>
        <w:t>Concerning</w:t>
      </w:r>
      <w:r w:rsidR="00B20243">
        <w:rPr>
          <w:rFonts w:ascii="Times New Roman" w:hAnsi="Times New Roman"/>
          <w:sz w:val="24"/>
          <w:szCs w:val="24"/>
          <w:lang w:val="en-GB"/>
        </w:rPr>
        <w:t xml:space="preserve"> the semi-annual reporting templates, </w:t>
      </w:r>
      <w:r w:rsidR="002E1E90">
        <w:rPr>
          <w:rFonts w:ascii="Times New Roman" w:hAnsi="Times New Roman"/>
          <w:sz w:val="24"/>
          <w:szCs w:val="24"/>
          <w:lang w:val="en-GB"/>
        </w:rPr>
        <w:t>the</w:t>
      </w:r>
      <w:r w:rsidR="000639FF">
        <w:rPr>
          <w:rFonts w:ascii="Times New Roman" w:hAnsi="Times New Roman"/>
          <w:sz w:val="24"/>
          <w:szCs w:val="24"/>
          <w:lang w:val="en-GB"/>
        </w:rPr>
        <w:t xml:space="preserve"> Reporting A</w:t>
      </w:r>
      <w:r w:rsidR="00CE6772">
        <w:rPr>
          <w:rFonts w:ascii="Times New Roman" w:hAnsi="Times New Roman"/>
          <w:sz w:val="24"/>
          <w:szCs w:val="24"/>
          <w:lang w:val="en-GB"/>
        </w:rPr>
        <w:t xml:space="preserve">gents should submit </w:t>
      </w:r>
      <w:r w:rsidR="00B20243">
        <w:rPr>
          <w:rFonts w:ascii="Times New Roman" w:hAnsi="Times New Roman"/>
          <w:sz w:val="24"/>
          <w:szCs w:val="24"/>
          <w:lang w:val="en-GB"/>
        </w:rPr>
        <w:t xml:space="preserve">first </w:t>
      </w:r>
      <w:r w:rsidR="00CE6772">
        <w:rPr>
          <w:rFonts w:ascii="Times New Roman" w:hAnsi="Times New Roman"/>
          <w:sz w:val="24"/>
          <w:szCs w:val="24"/>
          <w:lang w:val="en-GB"/>
        </w:rPr>
        <w:t>the</w:t>
      </w:r>
      <w:r w:rsidR="002E1E90">
        <w:rPr>
          <w:rFonts w:ascii="Times New Roman" w:hAnsi="Times New Roman"/>
          <w:sz w:val="24"/>
          <w:szCs w:val="24"/>
          <w:lang w:val="en-GB"/>
        </w:rPr>
        <w:t xml:space="preserve"> reporting template ‘</w:t>
      </w:r>
      <w:r w:rsidR="002E1E90" w:rsidRPr="00B20243">
        <w:rPr>
          <w:rFonts w:ascii="Times New Roman" w:hAnsi="Times New Roman"/>
          <w:sz w:val="24"/>
          <w:szCs w:val="24"/>
          <w:lang w:val="en-GB"/>
        </w:rPr>
        <w:t xml:space="preserve">PAYSTS2_MASTER_TEMPLATE_SEMI-ANNUAL’ </w:t>
      </w:r>
      <w:r w:rsidR="00B20243">
        <w:rPr>
          <w:rFonts w:ascii="Times New Roman" w:hAnsi="Times New Roman"/>
          <w:sz w:val="24"/>
          <w:szCs w:val="24"/>
          <w:lang w:val="en-GB"/>
        </w:rPr>
        <w:t xml:space="preserve">and then proceed with the submission of </w:t>
      </w:r>
      <w:r w:rsidR="002E1E90" w:rsidRPr="002E1E90">
        <w:rPr>
          <w:rFonts w:ascii="Times New Roman" w:hAnsi="Times New Roman"/>
          <w:sz w:val="24"/>
          <w:szCs w:val="24"/>
          <w:lang w:val="en-GB"/>
        </w:rPr>
        <w:t>the reporting template</w:t>
      </w:r>
      <w:r w:rsidR="002E1E90" w:rsidRPr="00B20243">
        <w:rPr>
          <w:rFonts w:ascii="Times New Roman" w:hAnsi="Times New Roman"/>
          <w:sz w:val="24"/>
          <w:szCs w:val="24"/>
          <w:lang w:val="en-GB"/>
        </w:rPr>
        <w:t xml:space="preserve"> ‘PAYSTS2_MASTER_TEMPLATE_FRAUDULENT_SEMI-ANNUAL’.</w:t>
      </w:r>
      <w:r w:rsidR="00B20243">
        <w:rPr>
          <w:rFonts w:ascii="Times New Roman" w:hAnsi="Times New Roman"/>
          <w:sz w:val="24"/>
          <w:szCs w:val="24"/>
          <w:lang w:val="en-GB"/>
        </w:rPr>
        <w:t xml:space="preserve"> In other words, </w:t>
      </w:r>
      <w:r w:rsidR="00B20243" w:rsidRPr="00934A9F">
        <w:rPr>
          <w:rFonts w:ascii="Times New Roman" w:hAnsi="Times New Roman"/>
          <w:sz w:val="24"/>
          <w:szCs w:val="24"/>
          <w:u w:val="single"/>
          <w:lang w:val="en-GB"/>
        </w:rPr>
        <w:t>the submission of the reporting template ‘PAYSTS2_MASTER_TEMPLATE_SEMI-ANNUAL’</w:t>
      </w:r>
      <w:r w:rsidR="007040FA" w:rsidRPr="00934A9F">
        <w:rPr>
          <w:rFonts w:ascii="Times New Roman" w:hAnsi="Times New Roman"/>
          <w:sz w:val="24"/>
          <w:szCs w:val="24"/>
          <w:u w:val="single"/>
          <w:lang w:val="en-GB"/>
        </w:rPr>
        <w:t xml:space="preserve"> should come before the submission of the reporting template ‘PAYSTS2_MASTER_TEMPLATE_FRAUDULENT_SEMI-ANNUAL</w:t>
      </w:r>
      <w:r w:rsidR="007040FA" w:rsidRPr="00B20243">
        <w:rPr>
          <w:rFonts w:ascii="Times New Roman" w:hAnsi="Times New Roman"/>
          <w:sz w:val="24"/>
          <w:szCs w:val="24"/>
          <w:lang w:val="en-GB"/>
        </w:rPr>
        <w:t>’</w:t>
      </w:r>
      <w:r w:rsidR="00B20243" w:rsidRPr="00B20243">
        <w:rPr>
          <w:rFonts w:ascii="Times New Roman" w:hAnsi="Times New Roman"/>
          <w:sz w:val="24"/>
          <w:szCs w:val="24"/>
          <w:lang w:val="en-GB"/>
        </w:rPr>
        <w:t>.</w:t>
      </w:r>
    </w:p>
    <w:p w14:paraId="2BDEEEF0" w14:textId="77777777" w:rsidR="008107D3" w:rsidRPr="008107D3" w:rsidRDefault="008107D3" w:rsidP="008107D3">
      <w:pPr>
        <w:pStyle w:val="Heading2"/>
        <w:spacing w:before="240" w:after="120" w:line="360" w:lineRule="auto"/>
        <w:jc w:val="both"/>
      </w:pPr>
      <w:bookmarkStart w:id="16" w:name="_Toc221126449"/>
      <w:r w:rsidRPr="008107D3">
        <w:rPr>
          <w:rFonts w:ascii="Times New Roman" w:hAnsi="Times New Roman" w:cs="Times New Roman"/>
          <w:color w:val="003199"/>
          <w:sz w:val="28"/>
          <w:szCs w:val="28"/>
        </w:rPr>
        <w:t xml:space="preserve">Data </w:t>
      </w:r>
      <w:proofErr w:type="spellStart"/>
      <w:r w:rsidR="00954C91">
        <w:rPr>
          <w:rFonts w:ascii="Times New Roman" w:hAnsi="Times New Roman" w:cs="Times New Roman"/>
          <w:color w:val="003199"/>
          <w:sz w:val="28"/>
          <w:szCs w:val="28"/>
          <w:lang w:val="en-GB"/>
        </w:rPr>
        <w:t>validation_formulas</w:t>
      </w:r>
      <w:bookmarkEnd w:id="16"/>
      <w:proofErr w:type="spellEnd"/>
    </w:p>
    <w:p w14:paraId="22812BC1" w14:textId="77777777" w:rsidR="008107D3" w:rsidRDefault="008107D3" w:rsidP="00760F3B">
      <w:pPr>
        <w:spacing w:before="60" w:after="12" w:line="360" w:lineRule="auto"/>
        <w:jc w:val="both"/>
        <w:rPr>
          <w:rFonts w:ascii="Times New Roman" w:hAnsi="Times New Roman"/>
          <w:sz w:val="24"/>
          <w:szCs w:val="24"/>
          <w:lang w:val="en-GB"/>
        </w:rPr>
      </w:pPr>
      <w:r w:rsidRPr="008107D3">
        <w:rPr>
          <w:rFonts w:ascii="Times New Roman" w:hAnsi="Times New Roman"/>
          <w:sz w:val="24"/>
          <w:szCs w:val="24"/>
          <w:lang w:val="en-GB"/>
        </w:rPr>
        <w:t xml:space="preserve">The </w:t>
      </w:r>
      <w:r w:rsidR="00CE6772">
        <w:rPr>
          <w:rFonts w:ascii="Times New Roman" w:hAnsi="Times New Roman"/>
          <w:sz w:val="24"/>
          <w:szCs w:val="24"/>
          <w:lang w:val="en-GB"/>
        </w:rPr>
        <w:t xml:space="preserve">reporting </w:t>
      </w:r>
      <w:r w:rsidRPr="008107D3">
        <w:rPr>
          <w:rFonts w:ascii="Times New Roman" w:hAnsi="Times New Roman"/>
          <w:sz w:val="24"/>
          <w:szCs w:val="24"/>
          <w:lang w:val="en-GB"/>
        </w:rPr>
        <w:t>template</w:t>
      </w:r>
      <w:r w:rsidR="005E1190">
        <w:rPr>
          <w:rFonts w:ascii="Times New Roman" w:hAnsi="Times New Roman"/>
          <w:sz w:val="24"/>
          <w:szCs w:val="24"/>
          <w:lang w:val="en-GB"/>
        </w:rPr>
        <w:t>s</w:t>
      </w:r>
      <w:r w:rsidRPr="008107D3">
        <w:rPr>
          <w:rFonts w:ascii="Times New Roman" w:hAnsi="Times New Roman"/>
          <w:sz w:val="24"/>
          <w:szCs w:val="24"/>
          <w:lang w:val="en-GB"/>
        </w:rPr>
        <w:t xml:space="preserve"> contain several built-in controls and validations (in the form of restricted lists of values, predefined excel validations</w:t>
      </w:r>
      <w:r w:rsidR="00954C91">
        <w:rPr>
          <w:rFonts w:ascii="Times New Roman" w:hAnsi="Times New Roman"/>
          <w:sz w:val="24"/>
          <w:szCs w:val="24"/>
          <w:lang w:val="en-GB"/>
        </w:rPr>
        <w:t xml:space="preserve"> and formulas</w:t>
      </w:r>
      <w:r w:rsidRPr="008107D3">
        <w:rPr>
          <w:rFonts w:ascii="Times New Roman" w:hAnsi="Times New Roman"/>
          <w:sz w:val="24"/>
          <w:szCs w:val="24"/>
          <w:lang w:val="en-GB"/>
        </w:rPr>
        <w:t xml:space="preserve">) to assist </w:t>
      </w:r>
      <w:r w:rsidR="000639FF">
        <w:rPr>
          <w:rFonts w:ascii="Times New Roman" w:hAnsi="Times New Roman"/>
          <w:sz w:val="24"/>
          <w:szCs w:val="24"/>
          <w:lang w:val="en-GB"/>
        </w:rPr>
        <w:t>the Reporting A</w:t>
      </w:r>
      <w:r w:rsidRPr="008107D3">
        <w:rPr>
          <w:rFonts w:ascii="Times New Roman" w:hAnsi="Times New Roman"/>
          <w:sz w:val="24"/>
          <w:szCs w:val="24"/>
          <w:lang w:val="en-GB"/>
        </w:rPr>
        <w:t xml:space="preserve">gents in the preparation of valid and consistent data. </w:t>
      </w:r>
    </w:p>
    <w:p w14:paraId="5078584A" w14:textId="77777777" w:rsidR="00CA6EE8" w:rsidRDefault="00954C91" w:rsidP="00954C91">
      <w:pPr>
        <w:spacing w:before="60" w:after="12" w:line="360" w:lineRule="auto"/>
        <w:jc w:val="both"/>
        <w:rPr>
          <w:rFonts w:ascii="Times New Roman" w:hAnsi="Times New Roman"/>
          <w:sz w:val="24"/>
          <w:szCs w:val="24"/>
          <w:lang w:val="en-GB"/>
        </w:rPr>
      </w:pPr>
      <w:r>
        <w:rPr>
          <w:rFonts w:ascii="Times New Roman" w:hAnsi="Times New Roman"/>
          <w:sz w:val="24"/>
          <w:szCs w:val="24"/>
          <w:lang w:val="en-GB"/>
        </w:rPr>
        <w:t xml:space="preserve">For the successful </w:t>
      </w:r>
      <w:r w:rsidRPr="00954C91">
        <w:rPr>
          <w:rFonts w:ascii="Times New Roman" w:hAnsi="Times New Roman"/>
          <w:sz w:val="24"/>
          <w:szCs w:val="24"/>
          <w:lang w:val="en-GB"/>
        </w:rPr>
        <w:t xml:space="preserve">submission of the excel templates to </w:t>
      </w:r>
      <w:r w:rsidR="00DA28E7">
        <w:rPr>
          <w:rFonts w:ascii="Times New Roman" w:hAnsi="Times New Roman"/>
          <w:sz w:val="24"/>
          <w:szCs w:val="24"/>
          <w:lang w:val="en-GB"/>
        </w:rPr>
        <w:t xml:space="preserve">the </w:t>
      </w:r>
      <w:r w:rsidRPr="00954C91">
        <w:rPr>
          <w:rFonts w:ascii="Times New Roman" w:hAnsi="Times New Roman"/>
          <w:sz w:val="24"/>
          <w:szCs w:val="24"/>
          <w:lang w:val="en-GB"/>
        </w:rPr>
        <w:t>CBC, all err</w:t>
      </w:r>
      <w:r w:rsidR="0006644A">
        <w:rPr>
          <w:rFonts w:ascii="Times New Roman" w:hAnsi="Times New Roman"/>
          <w:sz w:val="24"/>
          <w:szCs w:val="24"/>
          <w:lang w:val="en-GB"/>
        </w:rPr>
        <w:t xml:space="preserve">ors must be resolved before </w:t>
      </w:r>
      <w:r w:rsidRPr="00954C91">
        <w:rPr>
          <w:rFonts w:ascii="Times New Roman" w:hAnsi="Times New Roman"/>
          <w:sz w:val="24"/>
          <w:szCs w:val="24"/>
          <w:lang w:val="en-GB"/>
        </w:rPr>
        <w:t xml:space="preserve">loading to the FX platform. </w:t>
      </w:r>
      <w:r>
        <w:rPr>
          <w:rFonts w:ascii="Times New Roman" w:hAnsi="Times New Roman"/>
          <w:sz w:val="24"/>
          <w:szCs w:val="24"/>
          <w:lang w:val="en-GB"/>
        </w:rPr>
        <w:t>A summary of the errors is presented in the ‘Index’ sheet.</w:t>
      </w:r>
      <w:r w:rsidR="00D63014">
        <w:rPr>
          <w:rFonts w:ascii="Times New Roman" w:hAnsi="Times New Roman"/>
          <w:sz w:val="24"/>
          <w:szCs w:val="24"/>
          <w:lang w:val="en-GB"/>
        </w:rPr>
        <w:t xml:space="preserve"> Zero (0) indicates no errors, whereas </w:t>
      </w:r>
      <w:r w:rsidR="00A0299B" w:rsidRPr="00A0299B">
        <w:rPr>
          <w:rFonts w:ascii="Times New Roman" w:hAnsi="Times New Roman"/>
          <w:sz w:val="24"/>
          <w:szCs w:val="24"/>
          <w:lang w:val="en-GB"/>
        </w:rPr>
        <w:t xml:space="preserve">1 </w:t>
      </w:r>
      <w:r w:rsidR="00A0299B">
        <w:rPr>
          <w:rFonts w:ascii="Times New Roman" w:hAnsi="Times New Roman"/>
          <w:sz w:val="24"/>
          <w:szCs w:val="24"/>
          <w:lang w:val="en-GB"/>
        </w:rPr>
        <w:t xml:space="preserve">or </w:t>
      </w:r>
      <w:r w:rsidR="005E1190">
        <w:rPr>
          <w:rFonts w:ascii="Times New Roman" w:hAnsi="Times New Roman"/>
          <w:sz w:val="24"/>
          <w:szCs w:val="24"/>
          <w:lang w:val="en-GB"/>
        </w:rPr>
        <w:t>more</w:t>
      </w:r>
      <w:r w:rsidR="00CA6EE8">
        <w:rPr>
          <w:rFonts w:ascii="Times New Roman" w:hAnsi="Times New Roman"/>
          <w:sz w:val="24"/>
          <w:szCs w:val="24"/>
          <w:lang w:val="en-GB"/>
        </w:rPr>
        <w:t xml:space="preserve"> indicates the </w:t>
      </w:r>
      <w:r w:rsidR="00A0299B">
        <w:rPr>
          <w:rFonts w:ascii="Times New Roman" w:hAnsi="Times New Roman"/>
          <w:sz w:val="24"/>
          <w:szCs w:val="24"/>
          <w:lang w:val="en-GB"/>
        </w:rPr>
        <w:t>number</w:t>
      </w:r>
      <w:r w:rsidR="00D63014">
        <w:rPr>
          <w:rFonts w:ascii="Times New Roman" w:hAnsi="Times New Roman"/>
          <w:sz w:val="24"/>
          <w:szCs w:val="24"/>
          <w:lang w:val="en-GB"/>
        </w:rPr>
        <w:t xml:space="preserve"> of errors. Detailed analysis of each error is found in each schedule.</w:t>
      </w:r>
      <w:r w:rsidR="00B07A05">
        <w:rPr>
          <w:rFonts w:ascii="Times New Roman" w:hAnsi="Times New Roman"/>
          <w:sz w:val="24"/>
          <w:szCs w:val="24"/>
          <w:lang w:val="en-GB"/>
        </w:rPr>
        <w:t xml:space="preserve"> Also, additional</w:t>
      </w:r>
      <w:r w:rsidR="00CA6EE8" w:rsidRPr="008107D3">
        <w:rPr>
          <w:rFonts w:ascii="Times New Roman" w:hAnsi="Times New Roman"/>
          <w:sz w:val="24"/>
          <w:szCs w:val="24"/>
          <w:lang w:val="en-GB"/>
        </w:rPr>
        <w:t xml:space="preserve"> controls are </w:t>
      </w:r>
      <w:r w:rsidR="00B07A05">
        <w:rPr>
          <w:rFonts w:ascii="Times New Roman" w:hAnsi="Times New Roman"/>
          <w:sz w:val="24"/>
          <w:szCs w:val="24"/>
          <w:lang w:val="en-GB"/>
        </w:rPr>
        <w:t>applied</w:t>
      </w:r>
      <w:r w:rsidR="00CA6EE8" w:rsidRPr="008107D3">
        <w:rPr>
          <w:rFonts w:ascii="Times New Roman" w:hAnsi="Times New Roman"/>
          <w:sz w:val="24"/>
          <w:szCs w:val="24"/>
          <w:lang w:val="en-GB"/>
        </w:rPr>
        <w:t xml:space="preserve"> </w:t>
      </w:r>
      <w:r w:rsidR="00B07A05">
        <w:rPr>
          <w:rFonts w:ascii="Times New Roman" w:hAnsi="Times New Roman"/>
          <w:sz w:val="24"/>
          <w:szCs w:val="24"/>
          <w:lang w:val="en-GB"/>
        </w:rPr>
        <w:t xml:space="preserve">upon the data loading </w:t>
      </w:r>
      <w:r w:rsidR="00CA6EE8" w:rsidRPr="008107D3">
        <w:rPr>
          <w:rFonts w:ascii="Times New Roman" w:hAnsi="Times New Roman"/>
          <w:sz w:val="24"/>
          <w:szCs w:val="24"/>
          <w:lang w:val="en-GB"/>
        </w:rPr>
        <w:t>in the CBC databa</w:t>
      </w:r>
      <w:r w:rsidR="00B07A05">
        <w:rPr>
          <w:rFonts w:ascii="Times New Roman" w:hAnsi="Times New Roman"/>
          <w:sz w:val="24"/>
          <w:szCs w:val="24"/>
          <w:lang w:val="en-GB"/>
        </w:rPr>
        <w:t>s</w:t>
      </w:r>
      <w:r w:rsidR="00CA6EE8" w:rsidRPr="008107D3">
        <w:rPr>
          <w:rFonts w:ascii="Times New Roman" w:hAnsi="Times New Roman"/>
          <w:sz w:val="24"/>
          <w:szCs w:val="24"/>
          <w:lang w:val="en-GB"/>
        </w:rPr>
        <w:t>e</w:t>
      </w:r>
      <w:r w:rsidR="007040FA">
        <w:rPr>
          <w:rFonts w:ascii="Times New Roman" w:hAnsi="Times New Roman"/>
          <w:sz w:val="24"/>
          <w:szCs w:val="24"/>
          <w:lang w:val="en-GB"/>
        </w:rPr>
        <w:t xml:space="preserve"> (2</w:t>
      </w:r>
      <w:r w:rsidR="007040FA" w:rsidRPr="007040FA">
        <w:rPr>
          <w:rFonts w:ascii="Times New Roman" w:hAnsi="Times New Roman"/>
          <w:sz w:val="24"/>
          <w:szCs w:val="24"/>
          <w:vertAlign w:val="superscript"/>
          <w:lang w:val="en-GB"/>
        </w:rPr>
        <w:t>nd</w:t>
      </w:r>
      <w:r w:rsidR="007040FA">
        <w:rPr>
          <w:rFonts w:ascii="Times New Roman" w:hAnsi="Times New Roman"/>
          <w:sz w:val="24"/>
          <w:szCs w:val="24"/>
          <w:lang w:val="en-GB"/>
        </w:rPr>
        <w:t xml:space="preserve"> level controls)</w:t>
      </w:r>
      <w:r w:rsidR="00CA6EE8" w:rsidRPr="008107D3">
        <w:rPr>
          <w:rFonts w:ascii="Times New Roman" w:hAnsi="Times New Roman"/>
          <w:sz w:val="24"/>
          <w:szCs w:val="24"/>
          <w:lang w:val="en-GB"/>
        </w:rPr>
        <w:t>.</w:t>
      </w:r>
    </w:p>
    <w:p w14:paraId="33DFEC2B" w14:textId="77777777" w:rsidR="00954C91" w:rsidRPr="000C3CEF" w:rsidRDefault="00954C91" w:rsidP="00954C91">
      <w:pPr>
        <w:spacing w:before="60" w:after="12" w:line="360" w:lineRule="auto"/>
        <w:jc w:val="both"/>
        <w:rPr>
          <w:rFonts w:ascii="Times New Roman" w:hAnsi="Times New Roman"/>
          <w:sz w:val="24"/>
          <w:szCs w:val="24"/>
          <w:lang w:val="en-GB"/>
        </w:rPr>
      </w:pPr>
    </w:p>
    <w:p w14:paraId="30740CEE" w14:textId="77777777" w:rsidR="00591697" w:rsidRDefault="00591697" w:rsidP="00760F3B">
      <w:pPr>
        <w:pStyle w:val="Heading1"/>
        <w:jc w:val="both"/>
      </w:pPr>
      <w:bookmarkStart w:id="17" w:name="_Toc221126450"/>
      <w:r w:rsidRPr="00760F3B">
        <w:t>Guidance and detailed description of the attributes included in the reporting</w:t>
      </w:r>
      <w:bookmarkEnd w:id="17"/>
    </w:p>
    <w:p w14:paraId="6F20E218" w14:textId="42D9C0F8" w:rsidR="003802D1" w:rsidRDefault="00DA28E7" w:rsidP="003802D1">
      <w:pPr>
        <w:spacing w:before="60" w:after="12" w:line="360" w:lineRule="auto"/>
        <w:jc w:val="both"/>
        <w:rPr>
          <w:rFonts w:ascii="Times New Roman" w:hAnsi="Times New Roman"/>
          <w:sz w:val="24"/>
          <w:szCs w:val="24"/>
          <w:lang w:val="en-GB"/>
        </w:rPr>
      </w:pPr>
      <w:r>
        <w:rPr>
          <w:rFonts w:ascii="Times New Roman" w:hAnsi="Times New Roman"/>
          <w:sz w:val="24"/>
          <w:szCs w:val="24"/>
          <w:lang w:val="en-GB"/>
        </w:rPr>
        <w:t xml:space="preserve">The </w:t>
      </w:r>
      <w:r w:rsidR="003802D1">
        <w:rPr>
          <w:rFonts w:ascii="Times New Roman" w:hAnsi="Times New Roman"/>
          <w:sz w:val="24"/>
          <w:szCs w:val="24"/>
          <w:lang w:val="en-GB"/>
        </w:rPr>
        <w:t xml:space="preserve">CBC has designed </w:t>
      </w:r>
      <w:r w:rsidR="00D97ED8">
        <w:rPr>
          <w:rFonts w:ascii="Times New Roman" w:hAnsi="Times New Roman"/>
          <w:sz w:val="24"/>
          <w:szCs w:val="24"/>
          <w:lang w:val="en-GB"/>
        </w:rPr>
        <w:t>three</w:t>
      </w:r>
      <w:r w:rsidR="00F1044D">
        <w:rPr>
          <w:rFonts w:ascii="Times New Roman" w:hAnsi="Times New Roman"/>
          <w:sz w:val="24"/>
          <w:szCs w:val="24"/>
          <w:lang w:val="en-GB"/>
        </w:rPr>
        <w:t xml:space="preserve"> </w:t>
      </w:r>
      <w:r w:rsidR="003802D1">
        <w:rPr>
          <w:rFonts w:ascii="Times New Roman" w:hAnsi="Times New Roman"/>
          <w:sz w:val="24"/>
          <w:szCs w:val="24"/>
          <w:lang w:val="en-GB"/>
        </w:rPr>
        <w:t xml:space="preserve">specialised </w:t>
      </w:r>
      <w:r w:rsidR="0051066E">
        <w:rPr>
          <w:rFonts w:ascii="Times New Roman" w:hAnsi="Times New Roman"/>
          <w:sz w:val="24"/>
          <w:szCs w:val="24"/>
          <w:lang w:val="en-GB"/>
        </w:rPr>
        <w:t>excel-</w:t>
      </w:r>
      <w:r w:rsidR="003802D1" w:rsidRPr="003802D1">
        <w:rPr>
          <w:rFonts w:ascii="Times New Roman" w:hAnsi="Times New Roman"/>
          <w:sz w:val="24"/>
          <w:szCs w:val="24"/>
          <w:lang w:val="en-GB"/>
        </w:rPr>
        <w:t>template</w:t>
      </w:r>
      <w:r w:rsidR="003802D1">
        <w:rPr>
          <w:rFonts w:ascii="Times New Roman" w:hAnsi="Times New Roman"/>
          <w:sz w:val="24"/>
          <w:szCs w:val="24"/>
          <w:lang w:val="en-GB"/>
        </w:rPr>
        <w:t>s</w:t>
      </w:r>
      <w:r w:rsidR="003802D1" w:rsidRPr="003802D1">
        <w:rPr>
          <w:rFonts w:ascii="Times New Roman" w:hAnsi="Times New Roman"/>
          <w:sz w:val="24"/>
          <w:szCs w:val="24"/>
          <w:lang w:val="en-GB"/>
        </w:rPr>
        <w:t xml:space="preserve"> in a predefined structure and format</w:t>
      </w:r>
      <w:r w:rsidR="003371D8">
        <w:rPr>
          <w:rFonts w:ascii="Times New Roman" w:hAnsi="Times New Roman"/>
          <w:sz w:val="24"/>
          <w:szCs w:val="24"/>
          <w:lang w:val="en-GB"/>
        </w:rPr>
        <w:t xml:space="preserve"> </w:t>
      </w:r>
      <w:r w:rsidR="003371D8" w:rsidRPr="003802D1">
        <w:rPr>
          <w:rFonts w:ascii="Times New Roman" w:hAnsi="Times New Roman"/>
          <w:sz w:val="24"/>
          <w:szCs w:val="24"/>
          <w:lang w:val="en-GB"/>
        </w:rPr>
        <w:t xml:space="preserve">for the </w:t>
      </w:r>
      <w:r w:rsidR="003371D8">
        <w:rPr>
          <w:rFonts w:ascii="Times New Roman" w:hAnsi="Times New Roman"/>
          <w:sz w:val="24"/>
          <w:szCs w:val="24"/>
          <w:lang w:val="en-GB"/>
        </w:rPr>
        <w:t>collection of Payment Statistics</w:t>
      </w:r>
      <w:r w:rsidR="00D97ED8">
        <w:rPr>
          <w:rFonts w:ascii="Times New Roman" w:hAnsi="Times New Roman"/>
          <w:sz w:val="24"/>
          <w:szCs w:val="24"/>
          <w:lang w:val="en-GB"/>
        </w:rPr>
        <w:t>, two</w:t>
      </w:r>
      <w:r w:rsidR="00F1044D">
        <w:rPr>
          <w:rFonts w:ascii="Times New Roman" w:hAnsi="Times New Roman"/>
          <w:sz w:val="24"/>
          <w:szCs w:val="24"/>
          <w:lang w:val="en-GB"/>
        </w:rPr>
        <w:t xml:space="preserve"> for the</w:t>
      </w:r>
      <w:r w:rsidR="00166E50">
        <w:rPr>
          <w:rFonts w:ascii="Times New Roman" w:hAnsi="Times New Roman"/>
          <w:sz w:val="24"/>
          <w:szCs w:val="24"/>
          <w:lang w:val="en-GB"/>
        </w:rPr>
        <w:t xml:space="preserve"> semi-annual reporting</w:t>
      </w:r>
      <w:r w:rsidR="006C1BCD">
        <w:rPr>
          <w:rStyle w:val="FootnoteReference"/>
          <w:rFonts w:ascii="Times New Roman" w:hAnsi="Times New Roman"/>
          <w:sz w:val="24"/>
          <w:szCs w:val="24"/>
          <w:lang w:val="en-GB"/>
        </w:rPr>
        <w:footnoteReference w:id="5"/>
      </w:r>
      <w:r w:rsidR="00D97ED8">
        <w:rPr>
          <w:rFonts w:ascii="Times New Roman" w:hAnsi="Times New Roman"/>
          <w:sz w:val="24"/>
          <w:szCs w:val="24"/>
          <w:lang w:val="en-GB"/>
        </w:rPr>
        <w:t>, and</w:t>
      </w:r>
      <w:r w:rsidR="007D6FA8">
        <w:rPr>
          <w:rFonts w:ascii="Times New Roman" w:hAnsi="Times New Roman"/>
          <w:sz w:val="24"/>
          <w:szCs w:val="24"/>
          <w:lang w:val="en-GB"/>
        </w:rPr>
        <w:t xml:space="preserve"> the other for the quarterly reporting </w:t>
      </w:r>
      <w:r w:rsidR="00166E50">
        <w:rPr>
          <w:rFonts w:ascii="Times New Roman" w:hAnsi="Times New Roman"/>
          <w:sz w:val="24"/>
          <w:szCs w:val="24"/>
          <w:lang w:val="en-GB"/>
        </w:rPr>
        <w:t>(</w:t>
      </w:r>
      <w:r w:rsidR="00650EBE">
        <w:rPr>
          <w:rFonts w:ascii="Times New Roman" w:hAnsi="Times New Roman"/>
          <w:sz w:val="24"/>
          <w:szCs w:val="24"/>
          <w:lang w:val="en-GB"/>
        </w:rPr>
        <w:t xml:space="preserve">refer to </w:t>
      </w:r>
      <w:hyperlink w:anchor="_Reporting_requirements" w:history="1">
        <w:r w:rsidR="00650EBE" w:rsidRPr="00F1044D">
          <w:rPr>
            <w:rStyle w:val="Hyperlink"/>
            <w:rFonts w:ascii="Times New Roman" w:hAnsi="Times New Roman"/>
            <w:sz w:val="24"/>
            <w:szCs w:val="24"/>
            <w:lang w:val="en-GB"/>
          </w:rPr>
          <w:t xml:space="preserve">section </w:t>
        </w:r>
        <w:r w:rsidR="00F1044D" w:rsidRPr="00F1044D">
          <w:rPr>
            <w:rStyle w:val="Hyperlink"/>
            <w:rFonts w:ascii="Times New Roman" w:hAnsi="Times New Roman"/>
            <w:sz w:val="24"/>
            <w:szCs w:val="24"/>
            <w:lang w:val="en-GB"/>
          </w:rPr>
          <w:t>3 d.</w:t>
        </w:r>
      </w:hyperlink>
      <w:r w:rsidR="00650EBE">
        <w:rPr>
          <w:rFonts w:ascii="Times New Roman" w:hAnsi="Times New Roman"/>
          <w:sz w:val="24"/>
          <w:szCs w:val="24"/>
          <w:lang w:val="en-GB"/>
        </w:rPr>
        <w:t>)</w:t>
      </w:r>
      <w:r w:rsidR="00166E50">
        <w:rPr>
          <w:rFonts w:ascii="Times New Roman" w:hAnsi="Times New Roman"/>
          <w:sz w:val="24"/>
          <w:szCs w:val="24"/>
          <w:lang w:val="en-GB"/>
        </w:rPr>
        <w:t>. Each excel template includes of multiple excel-sheets</w:t>
      </w:r>
      <w:r w:rsidR="0060127A">
        <w:rPr>
          <w:rFonts w:ascii="Times New Roman" w:hAnsi="Times New Roman"/>
          <w:sz w:val="24"/>
          <w:szCs w:val="24"/>
          <w:lang w:val="en-GB"/>
        </w:rPr>
        <w:t xml:space="preserve"> (schedules)</w:t>
      </w:r>
      <w:r w:rsidR="00166E50">
        <w:rPr>
          <w:rFonts w:ascii="Times New Roman" w:hAnsi="Times New Roman"/>
          <w:sz w:val="24"/>
          <w:szCs w:val="24"/>
          <w:lang w:val="en-GB"/>
        </w:rPr>
        <w:t>. I</w:t>
      </w:r>
      <w:r w:rsidR="0051066E">
        <w:rPr>
          <w:rFonts w:ascii="Times New Roman" w:hAnsi="Times New Roman"/>
          <w:sz w:val="24"/>
          <w:szCs w:val="24"/>
          <w:lang w:val="en-GB"/>
        </w:rPr>
        <w:t>n the first sheet of each excel-</w:t>
      </w:r>
      <w:r w:rsidR="00166E50">
        <w:rPr>
          <w:rFonts w:ascii="Times New Roman" w:hAnsi="Times New Roman"/>
          <w:sz w:val="24"/>
          <w:szCs w:val="24"/>
          <w:lang w:val="en-GB"/>
        </w:rPr>
        <w:t xml:space="preserve">template there is an ‘Index’ indicating the number of validation errors. </w:t>
      </w:r>
    </w:p>
    <w:p w14:paraId="5B8EB88A" w14:textId="77777777" w:rsidR="00954C91" w:rsidRPr="00954C91" w:rsidRDefault="00954C91" w:rsidP="003802D1">
      <w:pPr>
        <w:spacing w:before="60" w:after="12" w:line="360" w:lineRule="auto"/>
        <w:jc w:val="both"/>
        <w:rPr>
          <w:rFonts w:ascii="Times New Roman" w:hAnsi="Times New Roman"/>
          <w:b/>
          <w:sz w:val="24"/>
          <w:szCs w:val="24"/>
          <w:u w:val="single"/>
          <w:lang w:val="en-GB"/>
        </w:rPr>
      </w:pPr>
      <w:r>
        <w:rPr>
          <w:rFonts w:ascii="Times New Roman" w:hAnsi="Times New Roman"/>
          <w:b/>
          <w:sz w:val="24"/>
          <w:szCs w:val="24"/>
          <w:u w:val="single"/>
          <w:lang w:val="en-GB"/>
        </w:rPr>
        <w:t>Index</w:t>
      </w:r>
    </w:p>
    <w:p w14:paraId="0D4A6FDC" w14:textId="77777777" w:rsidR="003802D1" w:rsidRPr="003802D1" w:rsidRDefault="0024137C" w:rsidP="003802D1">
      <w:pPr>
        <w:spacing w:before="60" w:after="12" w:line="360" w:lineRule="auto"/>
        <w:jc w:val="both"/>
        <w:rPr>
          <w:rFonts w:ascii="Times New Roman" w:hAnsi="Times New Roman"/>
          <w:sz w:val="24"/>
          <w:szCs w:val="24"/>
          <w:lang w:val="en-GB"/>
        </w:rPr>
      </w:pPr>
      <w:r>
        <w:rPr>
          <w:rFonts w:ascii="Times New Roman" w:hAnsi="Times New Roman"/>
          <w:sz w:val="24"/>
          <w:szCs w:val="24"/>
          <w:lang w:val="en-GB"/>
        </w:rPr>
        <w:t xml:space="preserve">The following general information </w:t>
      </w:r>
      <w:r w:rsidR="003371D8">
        <w:rPr>
          <w:rFonts w:ascii="Times New Roman" w:hAnsi="Times New Roman"/>
          <w:sz w:val="24"/>
          <w:szCs w:val="24"/>
          <w:lang w:val="en-GB"/>
        </w:rPr>
        <w:t xml:space="preserve">shall be reported by the Reporting Agent in the ‘Index’ sheet: </w:t>
      </w:r>
    </w:p>
    <w:p w14:paraId="7BB209B5" w14:textId="77777777" w:rsidR="0024137C" w:rsidRPr="0024137C" w:rsidRDefault="0024137C" w:rsidP="0024137C">
      <w:pPr>
        <w:pStyle w:val="ListParagraph"/>
        <w:numPr>
          <w:ilvl w:val="0"/>
          <w:numId w:val="21"/>
        </w:numPr>
        <w:spacing w:before="60" w:after="12" w:line="360" w:lineRule="auto"/>
        <w:jc w:val="both"/>
        <w:rPr>
          <w:rFonts w:ascii="Times New Roman" w:hAnsi="Times New Roman"/>
          <w:sz w:val="24"/>
          <w:szCs w:val="24"/>
          <w:lang w:val="en-GB"/>
        </w:rPr>
      </w:pPr>
      <w:r w:rsidRPr="0024137C">
        <w:rPr>
          <w:rFonts w:ascii="Times New Roman" w:hAnsi="Times New Roman"/>
          <w:b/>
          <w:sz w:val="24"/>
          <w:szCs w:val="24"/>
          <w:lang w:val="en-GB"/>
        </w:rPr>
        <w:lastRenderedPageBreak/>
        <w:t>Institution short name:</w:t>
      </w:r>
      <w:r w:rsidRPr="0024137C">
        <w:rPr>
          <w:rFonts w:ascii="Times New Roman" w:hAnsi="Times New Roman"/>
          <w:sz w:val="24"/>
          <w:szCs w:val="24"/>
          <w:lang w:val="en-GB"/>
        </w:rPr>
        <w:t xml:space="preserve"> </w:t>
      </w:r>
      <w:r w:rsidR="00650EBE">
        <w:rPr>
          <w:rFonts w:ascii="Times New Roman" w:hAnsi="Times New Roman"/>
          <w:sz w:val="24"/>
          <w:szCs w:val="24"/>
          <w:lang w:val="en-GB"/>
        </w:rPr>
        <w:t xml:space="preserve">should use the organisation name included in the FX platform (i.e. the acronym), </w:t>
      </w:r>
      <w:r w:rsidRPr="0024137C">
        <w:rPr>
          <w:rFonts w:ascii="Times New Roman" w:hAnsi="Times New Roman"/>
          <w:sz w:val="24"/>
          <w:szCs w:val="24"/>
          <w:lang w:val="en-GB"/>
        </w:rPr>
        <w:t>e.g. BOC</w:t>
      </w:r>
    </w:p>
    <w:p w14:paraId="782B6D32" w14:textId="77777777" w:rsidR="003802D1" w:rsidRPr="0024137C" w:rsidRDefault="003802D1" w:rsidP="0024137C">
      <w:pPr>
        <w:pStyle w:val="ListParagraph"/>
        <w:numPr>
          <w:ilvl w:val="0"/>
          <w:numId w:val="21"/>
        </w:numPr>
        <w:spacing w:before="60" w:after="12" w:line="360" w:lineRule="auto"/>
        <w:jc w:val="both"/>
        <w:rPr>
          <w:rFonts w:ascii="Times New Roman" w:hAnsi="Times New Roman"/>
          <w:b/>
          <w:sz w:val="24"/>
          <w:szCs w:val="24"/>
          <w:lang w:val="en-GB"/>
        </w:rPr>
      </w:pPr>
      <w:r w:rsidRPr="0024137C">
        <w:rPr>
          <w:rFonts w:ascii="Times New Roman" w:hAnsi="Times New Roman"/>
          <w:b/>
          <w:sz w:val="24"/>
          <w:szCs w:val="24"/>
          <w:lang w:val="en-GB"/>
        </w:rPr>
        <w:t>Reference period</w:t>
      </w:r>
      <w:r w:rsidR="0024137C" w:rsidRPr="0024137C">
        <w:rPr>
          <w:rFonts w:ascii="Times New Roman" w:hAnsi="Times New Roman"/>
          <w:b/>
          <w:sz w:val="24"/>
          <w:szCs w:val="24"/>
          <w:lang w:val="en-GB"/>
        </w:rPr>
        <w:t xml:space="preserve">: </w:t>
      </w:r>
      <w:r w:rsidR="00661E5C">
        <w:rPr>
          <w:rFonts w:ascii="Times New Roman" w:hAnsi="Times New Roman"/>
          <w:sz w:val="24"/>
          <w:szCs w:val="24"/>
          <w:lang w:val="en-GB"/>
        </w:rPr>
        <w:t xml:space="preserve">should select from the drop-down list the </w:t>
      </w:r>
      <w:r w:rsidR="0024137C" w:rsidRPr="0024137C">
        <w:rPr>
          <w:rFonts w:ascii="Times New Roman" w:hAnsi="Times New Roman"/>
          <w:sz w:val="24"/>
          <w:szCs w:val="24"/>
          <w:lang w:val="en-GB"/>
        </w:rPr>
        <w:t>end date (dd/mm/</w:t>
      </w:r>
      <w:proofErr w:type="spellStart"/>
      <w:r w:rsidR="0024137C" w:rsidRPr="0024137C">
        <w:rPr>
          <w:rFonts w:ascii="Times New Roman" w:hAnsi="Times New Roman"/>
          <w:sz w:val="24"/>
          <w:szCs w:val="24"/>
          <w:lang w:val="en-GB"/>
        </w:rPr>
        <w:t>yyyy</w:t>
      </w:r>
      <w:proofErr w:type="spellEnd"/>
      <w:r w:rsidR="0024137C" w:rsidRPr="0024137C">
        <w:rPr>
          <w:rFonts w:ascii="Times New Roman" w:hAnsi="Times New Roman"/>
          <w:sz w:val="24"/>
          <w:szCs w:val="24"/>
          <w:lang w:val="en-GB"/>
        </w:rPr>
        <w:t xml:space="preserve">) of the reporting period </w:t>
      </w:r>
      <w:r w:rsidR="00E543B6">
        <w:rPr>
          <w:rFonts w:ascii="Times New Roman" w:hAnsi="Times New Roman"/>
          <w:sz w:val="24"/>
          <w:szCs w:val="24"/>
          <w:lang w:val="en-GB"/>
        </w:rPr>
        <w:t>e.g. 31/</w:t>
      </w:r>
      <w:r w:rsidR="00661E5C">
        <w:rPr>
          <w:rFonts w:ascii="Times New Roman" w:hAnsi="Times New Roman"/>
          <w:sz w:val="24"/>
          <w:szCs w:val="24"/>
          <w:lang w:val="en-GB"/>
        </w:rPr>
        <w:t>0</w:t>
      </w:r>
      <w:r w:rsidR="00E543B6">
        <w:rPr>
          <w:rFonts w:ascii="Times New Roman" w:hAnsi="Times New Roman"/>
          <w:sz w:val="24"/>
          <w:szCs w:val="24"/>
          <w:lang w:val="en-GB"/>
        </w:rPr>
        <w:t>3/</w:t>
      </w:r>
      <w:r w:rsidR="0024137C" w:rsidRPr="0024137C">
        <w:rPr>
          <w:rFonts w:ascii="Times New Roman" w:hAnsi="Times New Roman"/>
          <w:sz w:val="24"/>
          <w:szCs w:val="24"/>
          <w:lang w:val="en-GB"/>
        </w:rPr>
        <w:t>2022</w:t>
      </w:r>
      <w:r w:rsidRPr="0024137C">
        <w:rPr>
          <w:rFonts w:ascii="Times New Roman" w:hAnsi="Times New Roman"/>
          <w:b/>
          <w:sz w:val="24"/>
          <w:szCs w:val="24"/>
          <w:lang w:val="en-GB"/>
        </w:rPr>
        <w:t xml:space="preserve"> </w:t>
      </w:r>
      <w:r w:rsidR="00717BF3">
        <w:rPr>
          <w:rFonts w:ascii="Times New Roman" w:hAnsi="Times New Roman"/>
          <w:sz w:val="24"/>
          <w:szCs w:val="24"/>
          <w:lang w:val="en-GB"/>
        </w:rPr>
        <w:t xml:space="preserve">for the </w:t>
      </w:r>
      <w:r w:rsidR="005441B4">
        <w:rPr>
          <w:rFonts w:ascii="Times New Roman" w:hAnsi="Times New Roman"/>
          <w:sz w:val="24"/>
          <w:szCs w:val="24"/>
          <w:lang w:val="en-GB"/>
        </w:rPr>
        <w:t>1</w:t>
      </w:r>
      <w:r w:rsidR="005441B4" w:rsidRPr="005441B4">
        <w:rPr>
          <w:rFonts w:ascii="Times New Roman" w:hAnsi="Times New Roman"/>
          <w:sz w:val="24"/>
          <w:szCs w:val="24"/>
          <w:vertAlign w:val="superscript"/>
          <w:lang w:val="en-GB"/>
        </w:rPr>
        <w:t>st</w:t>
      </w:r>
      <w:r w:rsidR="005441B4">
        <w:rPr>
          <w:rFonts w:ascii="Times New Roman" w:hAnsi="Times New Roman"/>
          <w:sz w:val="24"/>
          <w:szCs w:val="24"/>
          <w:lang w:val="en-GB"/>
        </w:rPr>
        <w:t xml:space="preserve"> </w:t>
      </w:r>
      <w:r w:rsidR="00717BF3">
        <w:rPr>
          <w:rFonts w:ascii="Times New Roman" w:hAnsi="Times New Roman"/>
          <w:sz w:val="24"/>
          <w:szCs w:val="24"/>
          <w:lang w:val="en-GB"/>
        </w:rPr>
        <w:t>quarterly reporting</w:t>
      </w:r>
      <w:r w:rsidR="005441B4">
        <w:rPr>
          <w:rFonts w:ascii="Times New Roman" w:hAnsi="Times New Roman"/>
          <w:sz w:val="24"/>
          <w:szCs w:val="24"/>
          <w:lang w:val="en-GB"/>
        </w:rPr>
        <w:t xml:space="preserve"> of year 2022</w:t>
      </w:r>
    </w:p>
    <w:p w14:paraId="35090E87" w14:textId="77777777" w:rsidR="0024137C" w:rsidRPr="0024137C" w:rsidRDefault="0024137C" w:rsidP="0024137C">
      <w:pPr>
        <w:pStyle w:val="ListParagraph"/>
        <w:numPr>
          <w:ilvl w:val="0"/>
          <w:numId w:val="21"/>
        </w:numPr>
        <w:spacing w:before="60" w:after="12" w:line="360" w:lineRule="auto"/>
        <w:jc w:val="both"/>
        <w:rPr>
          <w:rFonts w:ascii="Times New Roman" w:hAnsi="Times New Roman"/>
          <w:b/>
          <w:sz w:val="24"/>
          <w:szCs w:val="24"/>
          <w:lang w:val="en-GB"/>
        </w:rPr>
      </w:pPr>
      <w:r w:rsidRPr="0024137C">
        <w:rPr>
          <w:rFonts w:ascii="Times New Roman" w:hAnsi="Times New Roman"/>
          <w:b/>
          <w:sz w:val="24"/>
          <w:szCs w:val="24"/>
          <w:lang w:val="en-GB"/>
        </w:rPr>
        <w:t>Institution type</w:t>
      </w:r>
      <w:r>
        <w:rPr>
          <w:rFonts w:ascii="Times New Roman" w:hAnsi="Times New Roman"/>
          <w:b/>
          <w:sz w:val="24"/>
          <w:szCs w:val="24"/>
          <w:lang w:val="en-GB"/>
        </w:rPr>
        <w:t xml:space="preserve">: </w:t>
      </w:r>
      <w:r>
        <w:rPr>
          <w:rFonts w:ascii="Times New Roman" w:hAnsi="Times New Roman"/>
          <w:sz w:val="24"/>
          <w:szCs w:val="24"/>
          <w:lang w:val="en-GB"/>
        </w:rPr>
        <w:t>should select from the drop-down list the type of your institution (i.e. Credit institution, Payment institution, E-money institution)</w:t>
      </w:r>
    </w:p>
    <w:p w14:paraId="377F1228" w14:textId="77777777" w:rsidR="0024137C" w:rsidRPr="00A3465D" w:rsidRDefault="0024137C" w:rsidP="0024137C">
      <w:pPr>
        <w:pStyle w:val="ListParagraph"/>
        <w:numPr>
          <w:ilvl w:val="0"/>
          <w:numId w:val="21"/>
        </w:numPr>
        <w:spacing w:before="60" w:after="12" w:line="360" w:lineRule="auto"/>
        <w:jc w:val="both"/>
        <w:rPr>
          <w:rFonts w:ascii="Times New Roman" w:hAnsi="Times New Roman"/>
          <w:b/>
          <w:sz w:val="24"/>
          <w:szCs w:val="24"/>
          <w:lang w:val="en-GB"/>
        </w:rPr>
      </w:pPr>
      <w:r w:rsidRPr="0024137C">
        <w:rPr>
          <w:rFonts w:ascii="Times New Roman" w:hAnsi="Times New Roman"/>
          <w:b/>
          <w:sz w:val="24"/>
          <w:szCs w:val="24"/>
          <w:lang w:val="en-GB"/>
        </w:rPr>
        <w:t>Legal Entity Identifier</w:t>
      </w:r>
      <w:r>
        <w:rPr>
          <w:rFonts w:ascii="Times New Roman" w:hAnsi="Times New Roman"/>
          <w:b/>
          <w:sz w:val="24"/>
          <w:szCs w:val="24"/>
          <w:lang w:val="en-GB"/>
        </w:rPr>
        <w:t xml:space="preserve">: </w:t>
      </w:r>
      <w:r>
        <w:rPr>
          <w:rFonts w:ascii="Times New Roman" w:hAnsi="Times New Roman"/>
          <w:sz w:val="24"/>
          <w:szCs w:val="24"/>
          <w:lang w:val="en-GB"/>
        </w:rPr>
        <w:t>should include the unique LEI code for your institution</w:t>
      </w:r>
      <w:r w:rsidR="00A3465D">
        <w:rPr>
          <w:rFonts w:ascii="Times New Roman" w:hAnsi="Times New Roman"/>
          <w:sz w:val="24"/>
          <w:szCs w:val="24"/>
          <w:lang w:val="en-GB"/>
        </w:rPr>
        <w:t xml:space="preserve">. In case of branches of credit institutions with no LEI, please include the LEI of your parent company </w:t>
      </w:r>
    </w:p>
    <w:p w14:paraId="20E85C74" w14:textId="77777777" w:rsidR="006D3E84" w:rsidRDefault="006D3E84" w:rsidP="007D6FA8">
      <w:pPr>
        <w:spacing w:before="60" w:after="12" w:line="360" w:lineRule="auto"/>
        <w:jc w:val="both"/>
        <w:rPr>
          <w:rFonts w:ascii="Times New Roman" w:hAnsi="Times New Roman"/>
          <w:sz w:val="24"/>
          <w:szCs w:val="24"/>
          <w:lang w:val="en-GB"/>
        </w:rPr>
      </w:pPr>
      <w:r w:rsidRPr="003802D1">
        <w:rPr>
          <w:rFonts w:ascii="Times New Roman" w:hAnsi="Times New Roman"/>
          <w:sz w:val="24"/>
          <w:szCs w:val="24"/>
          <w:lang w:val="en-GB"/>
        </w:rPr>
        <w:t xml:space="preserve">Detailed instructions on the completion of </w:t>
      </w:r>
      <w:r>
        <w:rPr>
          <w:rFonts w:ascii="Times New Roman" w:hAnsi="Times New Roman"/>
          <w:sz w:val="24"/>
          <w:szCs w:val="24"/>
          <w:lang w:val="en-GB"/>
        </w:rPr>
        <w:t>the information are</w:t>
      </w:r>
      <w:r w:rsidRPr="003802D1">
        <w:rPr>
          <w:rFonts w:ascii="Times New Roman" w:hAnsi="Times New Roman"/>
          <w:sz w:val="24"/>
          <w:szCs w:val="24"/>
          <w:lang w:val="en-GB"/>
        </w:rPr>
        <w:t xml:space="preserve"> given below.</w:t>
      </w:r>
    </w:p>
    <w:p w14:paraId="0D2F9267" w14:textId="77777777" w:rsidR="002A65F9" w:rsidRDefault="002A65F9" w:rsidP="00D60F53">
      <w:pPr>
        <w:spacing w:after="120" w:line="240" w:lineRule="exact"/>
        <w:rPr>
          <w:rFonts w:ascii="Times New Roman" w:eastAsiaTheme="majorEastAsia" w:hAnsi="Times New Roman"/>
          <w:color w:val="003199"/>
          <w:sz w:val="26"/>
          <w:szCs w:val="26"/>
          <w:u w:val="single"/>
          <w:lang w:val="en-GB"/>
        </w:rPr>
      </w:pPr>
    </w:p>
    <w:p w14:paraId="6F6C5C9E" w14:textId="77777777" w:rsidR="006625A4" w:rsidRDefault="007D6FA8" w:rsidP="006625A4">
      <w:pPr>
        <w:pStyle w:val="Heading2"/>
        <w:numPr>
          <w:ilvl w:val="0"/>
          <w:numId w:val="0"/>
        </w:numPr>
        <w:rPr>
          <w:rFonts w:ascii="Times New Roman" w:hAnsi="Times New Roman" w:cs="Times New Roman"/>
          <w:color w:val="003199"/>
          <w:u w:val="single"/>
          <w:lang w:val="en-GB"/>
        </w:rPr>
      </w:pPr>
      <w:bookmarkStart w:id="18" w:name="_Toc221126451"/>
      <w:r w:rsidRPr="002A65F9">
        <w:rPr>
          <w:rFonts w:ascii="Times New Roman" w:hAnsi="Times New Roman" w:cs="Times New Roman"/>
          <w:color w:val="003199"/>
          <w:u w:val="single"/>
          <w:lang w:val="en-GB"/>
        </w:rPr>
        <w:t>Semi-annual reporting</w:t>
      </w:r>
      <w:bookmarkEnd w:id="18"/>
      <w:r w:rsidR="006625A4">
        <w:rPr>
          <w:rFonts w:ascii="Times New Roman" w:hAnsi="Times New Roman" w:cs="Times New Roman"/>
          <w:color w:val="003199"/>
          <w:u w:val="single"/>
          <w:lang w:val="en-GB"/>
        </w:rPr>
        <w:t xml:space="preserve"> </w:t>
      </w:r>
    </w:p>
    <w:p w14:paraId="555E612E" w14:textId="77777777" w:rsidR="0013105F" w:rsidRDefault="0013105F" w:rsidP="0013105F">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The </w:t>
      </w:r>
      <w:r>
        <w:rPr>
          <w:rFonts w:ascii="Times New Roman" w:hAnsi="Times New Roman"/>
          <w:sz w:val="24"/>
          <w:szCs w:val="24"/>
          <w:lang w:val="en-GB"/>
        </w:rPr>
        <w:t xml:space="preserve">semi-annual reporting </w:t>
      </w:r>
      <w:r w:rsidR="006D3E84">
        <w:rPr>
          <w:rFonts w:ascii="Times New Roman" w:hAnsi="Times New Roman"/>
          <w:sz w:val="24"/>
          <w:szCs w:val="24"/>
          <w:lang w:val="en-GB"/>
        </w:rPr>
        <w:t>relates to</w:t>
      </w:r>
      <w:r>
        <w:rPr>
          <w:rFonts w:ascii="Times New Roman" w:hAnsi="Times New Roman"/>
          <w:sz w:val="24"/>
          <w:szCs w:val="24"/>
          <w:lang w:val="en-GB"/>
        </w:rPr>
        <w:t xml:space="preserve"> Tables </w:t>
      </w:r>
      <w:r w:rsidR="00B268B0">
        <w:rPr>
          <w:rFonts w:ascii="Times New Roman" w:hAnsi="Times New Roman"/>
          <w:sz w:val="24"/>
          <w:szCs w:val="24"/>
          <w:lang w:val="en-GB"/>
        </w:rPr>
        <w:t xml:space="preserve">1, </w:t>
      </w:r>
      <w:r>
        <w:rPr>
          <w:rFonts w:ascii="Times New Roman" w:hAnsi="Times New Roman"/>
          <w:sz w:val="24"/>
          <w:szCs w:val="24"/>
          <w:lang w:val="en-GB"/>
        </w:rPr>
        <w:t>2, 3, 4a,</w:t>
      </w:r>
      <w:r w:rsidR="00150608">
        <w:rPr>
          <w:rFonts w:ascii="Times New Roman" w:hAnsi="Times New Roman"/>
          <w:sz w:val="24"/>
          <w:szCs w:val="24"/>
          <w:lang w:val="en-GB"/>
        </w:rPr>
        <w:t xml:space="preserve"> 5a,</w:t>
      </w:r>
      <w:r>
        <w:rPr>
          <w:rFonts w:ascii="Times New Roman" w:hAnsi="Times New Roman"/>
          <w:sz w:val="24"/>
          <w:szCs w:val="24"/>
          <w:lang w:val="en-GB"/>
        </w:rPr>
        <w:t xml:space="preserve"> 6</w:t>
      </w:r>
      <w:r w:rsidR="00B20243">
        <w:rPr>
          <w:rFonts w:ascii="Times New Roman" w:hAnsi="Times New Roman"/>
          <w:sz w:val="24"/>
          <w:szCs w:val="24"/>
          <w:lang w:val="en-GB"/>
        </w:rPr>
        <w:t>, 7</w:t>
      </w:r>
      <w:r>
        <w:rPr>
          <w:rFonts w:ascii="Times New Roman" w:hAnsi="Times New Roman"/>
          <w:sz w:val="24"/>
          <w:szCs w:val="24"/>
          <w:lang w:val="en-GB"/>
        </w:rPr>
        <w:t xml:space="preserve"> and 8. </w:t>
      </w:r>
    </w:p>
    <w:p w14:paraId="02D2D9F1" w14:textId="77777777" w:rsidR="006625A4" w:rsidRPr="006625A4" w:rsidRDefault="006625A4" w:rsidP="006625A4">
      <w:pPr>
        <w:pStyle w:val="Heading3"/>
        <w:numPr>
          <w:ilvl w:val="0"/>
          <w:numId w:val="36"/>
        </w:numPr>
        <w:rPr>
          <w:rFonts w:ascii="Times New Roman" w:hAnsi="Times New Roman" w:cs="Times New Roman"/>
          <w:b/>
          <w:lang w:val="en-GB"/>
        </w:rPr>
      </w:pPr>
      <w:bookmarkStart w:id="19" w:name="_Toc221126452"/>
      <w:r w:rsidRPr="006625A4">
        <w:rPr>
          <w:rFonts w:ascii="Times New Roman" w:hAnsi="Times New Roman" w:cs="Times New Roman"/>
          <w:b/>
          <w:lang w:val="en-GB"/>
        </w:rPr>
        <w:t>PAYSTS2_MASTER_TEMPLATE_SEMI-ANNUAL</w:t>
      </w:r>
      <w:bookmarkEnd w:id="19"/>
    </w:p>
    <w:p w14:paraId="20C30538" w14:textId="77777777" w:rsidR="00F1044D" w:rsidRDefault="00F1044D" w:rsidP="00F1044D">
      <w:pPr>
        <w:spacing w:line="240" w:lineRule="exact"/>
        <w:jc w:val="both"/>
        <w:rPr>
          <w:rFonts w:ascii="Times New Roman" w:hAnsi="Times New Roman"/>
          <w:sz w:val="24"/>
          <w:szCs w:val="24"/>
          <w:lang w:val="en-GB"/>
        </w:rPr>
      </w:pPr>
    </w:p>
    <w:p w14:paraId="74ABF135" w14:textId="69E149D8" w:rsidR="00C41BA5" w:rsidRDefault="00C41BA5" w:rsidP="006625A4">
      <w:pPr>
        <w:pStyle w:val="Heading4"/>
        <w:numPr>
          <w:ilvl w:val="0"/>
          <w:numId w:val="34"/>
        </w:numPr>
        <w:rPr>
          <w:lang w:val="en-GB"/>
        </w:rPr>
      </w:pPr>
      <w:r w:rsidRPr="000D15E0">
        <w:rPr>
          <w:rFonts w:ascii="Times New Roman" w:hAnsi="Times New Roman" w:cs="Times New Roman"/>
          <w:color w:val="003199"/>
          <w:lang w:val="en-GB"/>
        </w:rPr>
        <w:t>Table 1</w:t>
      </w:r>
      <w:r w:rsidR="00190B2C" w:rsidRPr="000D15E0">
        <w:rPr>
          <w:rFonts w:ascii="Times New Roman" w:hAnsi="Times New Roman" w:cs="Times New Roman"/>
          <w:color w:val="003199"/>
          <w:lang w:val="en-GB"/>
        </w:rPr>
        <w:t>: Institutions offering payment services to non-monetary financial institutions (</w:t>
      </w:r>
      <w:r w:rsidR="000D15E0" w:rsidRPr="004E34FF">
        <w:rPr>
          <w:rFonts w:ascii="Times New Roman" w:hAnsi="Times New Roman" w:cs="Times New Roman"/>
          <w:color w:val="003199"/>
          <w:lang w:val="en-GB"/>
        </w:rPr>
        <w:t>non-MFIs</w:t>
      </w:r>
      <w:r w:rsidR="000D15E0" w:rsidRPr="00D339E0">
        <w:rPr>
          <w:rFonts w:ascii="Times New Roman" w:hAnsi="Times New Roman"/>
          <w:vertAlign w:val="superscript"/>
          <w:lang w:val="en-GB"/>
        </w:rPr>
        <w:fldChar w:fldCharType="begin"/>
      </w:r>
      <w:r w:rsidR="000D15E0" w:rsidRPr="00D339E0">
        <w:rPr>
          <w:rFonts w:ascii="Times New Roman" w:hAnsi="Times New Roman"/>
          <w:vertAlign w:val="superscript"/>
          <w:lang w:val="en-GB"/>
        </w:rPr>
        <w:instrText xml:space="preserve"> NOTEREF _Ref88719588 \h </w:instrText>
      </w:r>
      <w:r w:rsidR="000D15E0">
        <w:rPr>
          <w:rFonts w:ascii="Times New Roman" w:hAnsi="Times New Roman"/>
          <w:vertAlign w:val="superscript"/>
          <w:lang w:val="en-GB"/>
        </w:rPr>
        <w:instrText xml:space="preserve"> \* MERGEFORMAT </w:instrText>
      </w:r>
      <w:r w:rsidR="000D15E0" w:rsidRPr="00D339E0">
        <w:rPr>
          <w:rFonts w:ascii="Times New Roman" w:hAnsi="Times New Roman"/>
          <w:vertAlign w:val="superscript"/>
          <w:lang w:val="en-GB"/>
        </w:rPr>
      </w:r>
      <w:r w:rsidR="000D15E0" w:rsidRPr="00D339E0">
        <w:rPr>
          <w:rFonts w:ascii="Times New Roman" w:hAnsi="Times New Roman"/>
          <w:vertAlign w:val="superscript"/>
          <w:lang w:val="en-GB"/>
        </w:rPr>
        <w:fldChar w:fldCharType="separate"/>
      </w:r>
      <w:r w:rsidR="00F53249">
        <w:rPr>
          <w:rFonts w:ascii="Times New Roman" w:hAnsi="Times New Roman"/>
          <w:vertAlign w:val="superscript"/>
          <w:lang w:val="en-GB"/>
        </w:rPr>
        <w:t>2</w:t>
      </w:r>
      <w:r w:rsidR="000D15E0" w:rsidRPr="00D339E0">
        <w:rPr>
          <w:rFonts w:ascii="Times New Roman" w:hAnsi="Times New Roman"/>
          <w:vertAlign w:val="superscript"/>
          <w:lang w:val="en-GB"/>
        </w:rPr>
        <w:fldChar w:fldCharType="end"/>
      </w:r>
      <w:r w:rsidR="00190B2C" w:rsidRPr="00190B2C">
        <w:rPr>
          <w:lang w:val="en-GB"/>
        </w:rPr>
        <w:t>)</w:t>
      </w:r>
      <w:r w:rsidR="000F1F24">
        <w:rPr>
          <w:lang w:val="en-GB"/>
        </w:rPr>
        <w:t xml:space="preserve"> </w:t>
      </w:r>
      <w:r w:rsidR="000F1F24" w:rsidRPr="000D15E0">
        <w:rPr>
          <w:i w:val="0"/>
          <w:color w:val="ED7D31" w:themeColor="accent2"/>
          <w:lang w:val="en-GB"/>
        </w:rPr>
        <w:t>(refers to worksheets 1.1-1.3)</w:t>
      </w:r>
    </w:p>
    <w:p w14:paraId="63BFE897" w14:textId="03BBEBE2" w:rsidR="00717E9E" w:rsidRPr="00717E9E" w:rsidRDefault="00717E9E" w:rsidP="00717E9E">
      <w:pPr>
        <w:spacing w:before="60" w:after="12" w:line="360" w:lineRule="auto"/>
        <w:jc w:val="both"/>
        <w:rPr>
          <w:rFonts w:ascii="Times New Roman" w:hAnsi="Times New Roman"/>
          <w:sz w:val="24"/>
          <w:szCs w:val="24"/>
          <w:lang w:val="en-GB"/>
        </w:rPr>
      </w:pPr>
      <w:r w:rsidRPr="00717E9E">
        <w:rPr>
          <w:rFonts w:ascii="Times New Roman" w:hAnsi="Times New Roman"/>
          <w:sz w:val="24"/>
          <w:szCs w:val="24"/>
          <w:lang w:val="en-GB"/>
        </w:rPr>
        <w:t>It is noted that categories “overnight deposits”, “e-money accounts” and “payment accounts”</w:t>
      </w:r>
      <w:r>
        <w:rPr>
          <w:rFonts w:ascii="Times New Roman" w:hAnsi="Times New Roman"/>
          <w:sz w:val="24"/>
          <w:szCs w:val="24"/>
          <w:lang w:val="en-GB"/>
        </w:rPr>
        <w:t xml:space="preserve"> are not</w:t>
      </w:r>
      <w:r w:rsidRPr="00717E9E">
        <w:rPr>
          <w:rFonts w:ascii="Times New Roman" w:hAnsi="Times New Roman"/>
          <w:sz w:val="24"/>
          <w:szCs w:val="24"/>
          <w:lang w:val="en-GB"/>
        </w:rPr>
        <w:t xml:space="preserve"> mutually exclusive</w:t>
      </w:r>
      <w:r>
        <w:rPr>
          <w:rFonts w:ascii="Times New Roman" w:hAnsi="Times New Roman"/>
          <w:sz w:val="24"/>
          <w:szCs w:val="24"/>
          <w:lang w:val="en-GB"/>
        </w:rPr>
        <w:t>.</w:t>
      </w:r>
    </w:p>
    <w:p w14:paraId="73DA93DE" w14:textId="77777777" w:rsidR="00717E9E" w:rsidRPr="00717E9E" w:rsidRDefault="00717E9E" w:rsidP="00717E9E">
      <w:pPr>
        <w:rPr>
          <w:lang w:val="en-GB"/>
        </w:rPr>
      </w:pPr>
    </w:p>
    <w:tbl>
      <w:tblPr>
        <w:tblStyle w:val="TableGrid"/>
        <w:tblW w:w="9634" w:type="dxa"/>
        <w:tblLook w:val="04A0" w:firstRow="1" w:lastRow="0" w:firstColumn="1" w:lastColumn="0" w:noHBand="0" w:noVBand="1"/>
      </w:tblPr>
      <w:tblGrid>
        <w:gridCol w:w="2405"/>
        <w:gridCol w:w="7229"/>
      </w:tblGrid>
      <w:tr w:rsidR="00597D77" w:rsidRPr="00F53249" w14:paraId="19EBAE28" w14:textId="77777777" w:rsidTr="003668F9">
        <w:tc>
          <w:tcPr>
            <w:tcW w:w="2405" w:type="dxa"/>
          </w:tcPr>
          <w:p w14:paraId="0351837B" w14:textId="77777777" w:rsidR="00597D77" w:rsidRPr="000E7E1E" w:rsidRDefault="00597D77" w:rsidP="003D1E63">
            <w:pPr>
              <w:spacing w:line="360" w:lineRule="auto"/>
              <w:rPr>
                <w:rFonts w:ascii="Times New Roman" w:hAnsi="Times New Roman"/>
                <w:b/>
                <w:sz w:val="24"/>
                <w:szCs w:val="24"/>
                <w:lang w:val="en-GB"/>
              </w:rPr>
            </w:pPr>
            <w:r w:rsidRPr="000E7E1E">
              <w:rPr>
                <w:rFonts w:ascii="Times New Roman" w:hAnsi="Times New Roman"/>
                <w:b/>
                <w:sz w:val="24"/>
                <w:szCs w:val="24"/>
                <w:lang w:val="en-GB"/>
              </w:rPr>
              <w:t>Number of overnight deposits</w:t>
            </w:r>
            <w:r w:rsidR="00170536" w:rsidRPr="000E7E1E">
              <w:rPr>
                <w:rStyle w:val="FootnoteReference"/>
                <w:rFonts w:ascii="Times New Roman" w:hAnsi="Times New Roman"/>
                <w:b/>
                <w:sz w:val="24"/>
                <w:szCs w:val="24"/>
                <w:lang w:val="en-GB"/>
              </w:rPr>
              <w:footnoteReference w:id="6"/>
            </w:r>
          </w:p>
        </w:tc>
        <w:tc>
          <w:tcPr>
            <w:tcW w:w="7229" w:type="dxa"/>
          </w:tcPr>
          <w:p w14:paraId="692DB7A9" w14:textId="224EAFCE" w:rsidR="00D37AB6" w:rsidRPr="00170536" w:rsidRDefault="00C4448A" w:rsidP="00B86E82">
            <w:pPr>
              <w:spacing w:line="360" w:lineRule="auto"/>
              <w:jc w:val="both"/>
              <w:rPr>
                <w:rFonts w:ascii="Times New Roman" w:hAnsi="Times New Roman"/>
                <w:sz w:val="24"/>
                <w:szCs w:val="24"/>
                <w:lang w:val="en-GB"/>
              </w:rPr>
            </w:pPr>
            <w:r w:rsidRPr="00170536">
              <w:rPr>
                <w:rFonts w:ascii="Times New Roman" w:hAnsi="Times New Roman"/>
                <w:sz w:val="24"/>
                <w:szCs w:val="24"/>
                <w:lang w:val="en-GB"/>
              </w:rPr>
              <w:t>The breakdown includes the number of overnight deposits</w:t>
            </w:r>
            <w:r w:rsidR="00196025">
              <w:rPr>
                <w:rFonts w:ascii="Times New Roman" w:hAnsi="Times New Roman"/>
                <w:sz w:val="24"/>
                <w:szCs w:val="24"/>
                <w:lang w:val="en-GB"/>
              </w:rPr>
              <w:t xml:space="preserve"> </w:t>
            </w:r>
            <w:r w:rsidRPr="00170536">
              <w:rPr>
                <w:rFonts w:ascii="Times New Roman" w:hAnsi="Times New Roman"/>
                <w:sz w:val="24"/>
                <w:szCs w:val="24"/>
                <w:lang w:val="en-GB"/>
              </w:rPr>
              <w:t>held by non-</w:t>
            </w:r>
            <w:r w:rsidRPr="00E32B5F">
              <w:rPr>
                <w:rFonts w:ascii="Times New Roman" w:hAnsi="Times New Roman"/>
                <w:sz w:val="24"/>
                <w:szCs w:val="24"/>
                <w:lang w:val="en-GB"/>
              </w:rPr>
              <w:t>MFIs</w:t>
            </w:r>
            <w:r w:rsidR="00317FAC" w:rsidRPr="00D339E0">
              <w:rPr>
                <w:rFonts w:ascii="Times New Roman" w:hAnsi="Times New Roman"/>
                <w:vertAlign w:val="superscript"/>
                <w:lang w:val="en-GB"/>
              </w:rPr>
              <w:fldChar w:fldCharType="begin"/>
            </w:r>
            <w:r w:rsidR="00317FAC" w:rsidRPr="00D339E0">
              <w:rPr>
                <w:rFonts w:ascii="Times New Roman" w:hAnsi="Times New Roman"/>
                <w:vertAlign w:val="superscript"/>
                <w:lang w:val="en-GB"/>
              </w:rPr>
              <w:instrText xml:space="preserve"> NOTEREF _Ref88719588 \h </w:instrText>
            </w:r>
            <w:r w:rsidR="00317FAC">
              <w:rPr>
                <w:rFonts w:ascii="Times New Roman" w:hAnsi="Times New Roman"/>
                <w:vertAlign w:val="superscript"/>
                <w:lang w:val="en-GB"/>
              </w:rPr>
              <w:instrText xml:space="preserve"> \* MERGEFORMAT </w:instrText>
            </w:r>
            <w:r w:rsidR="00317FAC" w:rsidRPr="00D339E0">
              <w:rPr>
                <w:rFonts w:ascii="Times New Roman" w:hAnsi="Times New Roman"/>
                <w:vertAlign w:val="superscript"/>
                <w:lang w:val="en-GB"/>
              </w:rPr>
            </w:r>
            <w:r w:rsidR="00317FAC" w:rsidRPr="00D339E0">
              <w:rPr>
                <w:rFonts w:ascii="Times New Roman" w:hAnsi="Times New Roman"/>
                <w:vertAlign w:val="superscript"/>
                <w:lang w:val="en-GB"/>
              </w:rPr>
              <w:fldChar w:fldCharType="separate"/>
            </w:r>
            <w:r w:rsidR="00F53249">
              <w:rPr>
                <w:rFonts w:ascii="Times New Roman" w:hAnsi="Times New Roman"/>
                <w:vertAlign w:val="superscript"/>
                <w:lang w:val="en-GB"/>
              </w:rPr>
              <w:t>2</w:t>
            </w:r>
            <w:r w:rsidR="00317FAC" w:rsidRPr="00D339E0">
              <w:rPr>
                <w:rFonts w:ascii="Times New Roman" w:hAnsi="Times New Roman"/>
                <w:vertAlign w:val="superscript"/>
                <w:lang w:val="en-GB"/>
              </w:rPr>
              <w:fldChar w:fldCharType="end"/>
            </w:r>
            <w:r w:rsidR="00196025">
              <w:rPr>
                <w:rFonts w:ascii="Times New Roman" w:hAnsi="Times New Roman"/>
                <w:sz w:val="24"/>
                <w:szCs w:val="24"/>
                <w:lang w:val="en-GB"/>
              </w:rPr>
              <w:t>.</w:t>
            </w:r>
            <w:r w:rsidRPr="00E32B5F">
              <w:rPr>
                <w:rFonts w:ascii="Times New Roman" w:hAnsi="Times New Roman"/>
                <w:sz w:val="24"/>
                <w:szCs w:val="24"/>
                <w:lang w:val="en-GB"/>
              </w:rPr>
              <w:t xml:space="preserve"> </w:t>
            </w:r>
            <w:r w:rsidR="00E854FF" w:rsidRPr="00C4448A">
              <w:rPr>
                <w:rFonts w:ascii="Times New Roman" w:hAnsi="Times New Roman"/>
                <w:sz w:val="24"/>
                <w:szCs w:val="24"/>
                <w:lang w:val="en-GB"/>
              </w:rPr>
              <w:t>Deposits redeemable at notice</w:t>
            </w:r>
            <w:r w:rsidR="00236AA6">
              <w:rPr>
                <w:rFonts w:ascii="Times New Roman" w:hAnsi="Times New Roman"/>
                <w:sz w:val="24"/>
                <w:szCs w:val="24"/>
                <w:lang w:val="en-GB"/>
              </w:rPr>
              <w:t xml:space="preserve">, as well as </w:t>
            </w:r>
            <w:r w:rsidR="00236AA6" w:rsidRPr="007C6793">
              <w:rPr>
                <w:rFonts w:ascii="Times New Roman" w:hAnsi="Times New Roman"/>
                <w:sz w:val="24"/>
                <w:szCs w:val="24"/>
                <w:lang w:val="en-GB"/>
              </w:rPr>
              <w:t>transferable</w:t>
            </w:r>
            <w:r w:rsidR="00B734A3">
              <w:rPr>
                <w:rFonts w:ascii="Times New Roman" w:hAnsi="Times New Roman"/>
                <w:sz w:val="24"/>
                <w:szCs w:val="24"/>
                <w:lang w:val="en-GB"/>
              </w:rPr>
              <w:t>/ non transferrable</w:t>
            </w:r>
            <w:r w:rsidR="00236AA6" w:rsidRPr="007C6793">
              <w:rPr>
                <w:rFonts w:ascii="Times New Roman" w:hAnsi="Times New Roman"/>
                <w:sz w:val="24"/>
                <w:szCs w:val="24"/>
                <w:lang w:val="en-GB"/>
              </w:rPr>
              <w:t xml:space="preserve"> overnight deposit accounts with zero or negative balances</w:t>
            </w:r>
            <w:r w:rsidR="00E854FF" w:rsidRPr="00C4448A">
              <w:rPr>
                <w:rFonts w:ascii="Times New Roman" w:hAnsi="Times New Roman"/>
                <w:sz w:val="24"/>
                <w:szCs w:val="24"/>
                <w:lang w:val="en-GB"/>
              </w:rPr>
              <w:t xml:space="preserve"> </w:t>
            </w:r>
            <w:r w:rsidR="00E854FF" w:rsidRPr="008E55CF">
              <w:rPr>
                <w:rFonts w:ascii="Times New Roman" w:hAnsi="Times New Roman"/>
                <w:sz w:val="24"/>
                <w:szCs w:val="24"/>
                <w:lang w:val="en-GB"/>
              </w:rPr>
              <w:t xml:space="preserve">are excluded from overnight deposits. </w:t>
            </w:r>
            <w:r w:rsidR="003D1F49" w:rsidRPr="008E55CF">
              <w:rPr>
                <w:rFonts w:ascii="Times New Roman" w:hAnsi="Times New Roman"/>
                <w:sz w:val="24"/>
                <w:szCs w:val="24"/>
                <w:lang w:val="en-GB"/>
              </w:rPr>
              <w:t>It</w:t>
            </w:r>
            <w:r w:rsidR="00170536" w:rsidRPr="008E55CF">
              <w:rPr>
                <w:rFonts w:ascii="Times New Roman" w:hAnsi="Times New Roman"/>
                <w:sz w:val="24"/>
                <w:szCs w:val="24"/>
                <w:lang w:val="en-GB"/>
              </w:rPr>
              <w:t xml:space="preserve"> includes, but is not limited to, the</w:t>
            </w:r>
            <w:r w:rsidR="00F13262" w:rsidRPr="008E55CF">
              <w:rPr>
                <w:rFonts w:ascii="Times New Roman" w:hAnsi="Times New Roman"/>
                <w:sz w:val="24"/>
                <w:szCs w:val="24"/>
                <w:lang w:val="en-GB"/>
              </w:rPr>
              <w:t xml:space="preserve"> </w:t>
            </w:r>
            <w:r w:rsidR="005947B1" w:rsidRPr="008E55CF">
              <w:rPr>
                <w:rFonts w:ascii="Times New Roman" w:hAnsi="Times New Roman"/>
                <w:sz w:val="24"/>
                <w:szCs w:val="24"/>
                <w:lang w:val="en-GB"/>
              </w:rPr>
              <w:t>‘N</w:t>
            </w:r>
            <w:r w:rsidR="00F13262" w:rsidRPr="008E55CF">
              <w:rPr>
                <w:rFonts w:ascii="Times New Roman" w:hAnsi="Times New Roman"/>
                <w:sz w:val="24"/>
                <w:szCs w:val="24"/>
                <w:lang w:val="en-GB"/>
              </w:rPr>
              <w:t>umber of transferable overnight deposits</w:t>
            </w:r>
            <w:r w:rsidR="005947B1" w:rsidRPr="008E55CF">
              <w:rPr>
                <w:rFonts w:ascii="Times New Roman" w:hAnsi="Times New Roman"/>
                <w:sz w:val="24"/>
                <w:szCs w:val="24"/>
                <w:lang w:val="en-GB"/>
              </w:rPr>
              <w:t>’</w:t>
            </w:r>
            <w:r w:rsidRPr="008E55CF">
              <w:rPr>
                <w:rStyle w:val="FootnoteReference"/>
                <w:rFonts w:ascii="Times New Roman" w:hAnsi="Times New Roman"/>
                <w:sz w:val="24"/>
                <w:szCs w:val="24"/>
                <w:lang w:val="en-GB"/>
              </w:rPr>
              <w:footnoteReference w:id="7"/>
            </w:r>
            <w:r w:rsidR="005947B1" w:rsidRPr="008E55CF">
              <w:rPr>
                <w:rFonts w:ascii="Times New Roman" w:hAnsi="Times New Roman"/>
                <w:sz w:val="24"/>
                <w:szCs w:val="24"/>
                <w:lang w:val="en-GB"/>
              </w:rPr>
              <w:t xml:space="preserve"> and the ‘N</w:t>
            </w:r>
            <w:r w:rsidR="00E15A14" w:rsidRPr="008E55CF">
              <w:rPr>
                <w:rFonts w:ascii="Times New Roman" w:hAnsi="Times New Roman"/>
                <w:sz w:val="24"/>
                <w:szCs w:val="24"/>
                <w:lang w:val="en-GB"/>
              </w:rPr>
              <w:t>umber of internet/PC-linked overnight deposits</w:t>
            </w:r>
            <w:r w:rsidR="005947B1" w:rsidRPr="008E55CF">
              <w:rPr>
                <w:rFonts w:ascii="Times New Roman" w:hAnsi="Times New Roman"/>
                <w:sz w:val="24"/>
                <w:szCs w:val="24"/>
                <w:lang w:val="en-GB"/>
              </w:rPr>
              <w:t>’</w:t>
            </w:r>
            <w:r w:rsidR="00E854FF" w:rsidRPr="008E55CF">
              <w:rPr>
                <w:rStyle w:val="FootnoteReference"/>
                <w:rFonts w:ascii="Times New Roman" w:hAnsi="Times New Roman"/>
                <w:sz w:val="24"/>
                <w:szCs w:val="24"/>
                <w:lang w:val="en-GB"/>
              </w:rPr>
              <w:footnoteReference w:id="8"/>
            </w:r>
            <w:r w:rsidR="00170536" w:rsidRPr="008E55CF">
              <w:rPr>
                <w:rFonts w:ascii="Times New Roman" w:hAnsi="Times New Roman"/>
                <w:sz w:val="24"/>
                <w:szCs w:val="24"/>
                <w:lang w:val="en-GB"/>
              </w:rPr>
              <w:t>.</w:t>
            </w:r>
            <w:r w:rsidR="00B86E82">
              <w:rPr>
                <w:rFonts w:ascii="Times New Roman" w:hAnsi="Times New Roman"/>
                <w:sz w:val="24"/>
                <w:szCs w:val="24"/>
                <w:lang w:val="en-GB"/>
              </w:rPr>
              <w:t xml:space="preserve"> T</w:t>
            </w:r>
            <w:r w:rsidR="00B86E82" w:rsidRPr="00B86E82">
              <w:rPr>
                <w:rFonts w:ascii="Times New Roman" w:hAnsi="Times New Roman"/>
                <w:sz w:val="24"/>
                <w:szCs w:val="24"/>
                <w:lang w:val="en-GB"/>
              </w:rPr>
              <w:t xml:space="preserve">he latter two are not mutually </w:t>
            </w:r>
            <w:r w:rsidR="00B86E82" w:rsidRPr="00B86E82">
              <w:rPr>
                <w:rFonts w:ascii="Times New Roman" w:hAnsi="Times New Roman"/>
                <w:sz w:val="24"/>
                <w:szCs w:val="24"/>
                <w:lang w:val="en-GB"/>
              </w:rPr>
              <w:lastRenderedPageBreak/>
              <w:t>exclusive</w:t>
            </w:r>
            <w:r w:rsidR="00B86E82">
              <w:rPr>
                <w:rFonts w:ascii="Times New Roman" w:hAnsi="Times New Roman"/>
                <w:sz w:val="24"/>
                <w:szCs w:val="24"/>
                <w:lang w:val="en-GB"/>
              </w:rPr>
              <w:t xml:space="preserve">. </w:t>
            </w:r>
            <w:r w:rsidR="00D7098E" w:rsidRPr="008E55CF">
              <w:rPr>
                <w:rFonts w:ascii="Times New Roman" w:hAnsi="Times New Roman"/>
                <w:sz w:val="24"/>
                <w:szCs w:val="24"/>
                <w:lang w:val="en-GB"/>
              </w:rPr>
              <w:t>T</w:t>
            </w:r>
            <w:r w:rsidR="00E854FF" w:rsidRPr="008E55CF">
              <w:rPr>
                <w:rFonts w:ascii="Times New Roman" w:hAnsi="Times New Roman"/>
                <w:sz w:val="24"/>
                <w:szCs w:val="24"/>
                <w:lang w:val="en-GB"/>
              </w:rPr>
              <w:t xml:space="preserve">he </w:t>
            </w:r>
            <w:r w:rsidR="003D1F49" w:rsidRPr="008E55CF">
              <w:rPr>
                <w:rFonts w:ascii="Times New Roman" w:hAnsi="Times New Roman"/>
                <w:sz w:val="24"/>
                <w:szCs w:val="24"/>
                <w:lang w:val="en-GB"/>
              </w:rPr>
              <w:t>‘N</w:t>
            </w:r>
            <w:r w:rsidR="00E854FF" w:rsidRPr="008E55CF">
              <w:rPr>
                <w:rFonts w:ascii="Times New Roman" w:hAnsi="Times New Roman"/>
                <w:sz w:val="24"/>
                <w:szCs w:val="24"/>
                <w:lang w:val="en-GB"/>
              </w:rPr>
              <w:t>umber of internet/PC-linked transferable overnight deposits</w:t>
            </w:r>
            <w:r w:rsidR="003D1F49" w:rsidRPr="008E55CF">
              <w:rPr>
                <w:rFonts w:ascii="Times New Roman" w:hAnsi="Times New Roman"/>
                <w:sz w:val="24"/>
                <w:szCs w:val="24"/>
                <w:lang w:val="en-GB"/>
              </w:rPr>
              <w:t>’</w:t>
            </w:r>
            <w:r w:rsidR="005947B1" w:rsidRPr="008E55CF">
              <w:rPr>
                <w:rFonts w:ascii="Times New Roman" w:hAnsi="Times New Roman"/>
                <w:sz w:val="24"/>
                <w:szCs w:val="24"/>
                <w:lang w:val="en-GB"/>
              </w:rPr>
              <w:t xml:space="preserve"> is a sub-item of both ‘N</w:t>
            </w:r>
            <w:r w:rsidR="00F13262" w:rsidRPr="008E55CF">
              <w:rPr>
                <w:rFonts w:ascii="Times New Roman" w:hAnsi="Times New Roman"/>
                <w:sz w:val="24"/>
                <w:szCs w:val="24"/>
                <w:lang w:val="en-GB"/>
              </w:rPr>
              <w:t xml:space="preserve">umber of </w:t>
            </w:r>
            <w:r w:rsidR="005947B1" w:rsidRPr="008E55CF">
              <w:rPr>
                <w:rFonts w:ascii="Times New Roman" w:hAnsi="Times New Roman"/>
                <w:sz w:val="24"/>
                <w:szCs w:val="24"/>
                <w:lang w:val="en-GB"/>
              </w:rPr>
              <w:t>t</w:t>
            </w:r>
            <w:r w:rsidR="00F13262" w:rsidRPr="008E55CF">
              <w:rPr>
                <w:rFonts w:ascii="Times New Roman" w:hAnsi="Times New Roman"/>
                <w:sz w:val="24"/>
                <w:szCs w:val="24"/>
                <w:lang w:val="en-GB"/>
              </w:rPr>
              <w:t>ransferable overnight deposits</w:t>
            </w:r>
            <w:r w:rsidR="003D1F49" w:rsidRPr="008E55CF">
              <w:rPr>
                <w:rFonts w:ascii="Times New Roman" w:hAnsi="Times New Roman"/>
                <w:sz w:val="24"/>
                <w:szCs w:val="24"/>
                <w:lang w:val="en-GB"/>
              </w:rPr>
              <w:t>’</w:t>
            </w:r>
            <w:r w:rsidR="00F13262">
              <w:rPr>
                <w:rFonts w:ascii="Times New Roman" w:hAnsi="Times New Roman"/>
                <w:sz w:val="24"/>
                <w:szCs w:val="24"/>
                <w:lang w:val="en-GB"/>
              </w:rPr>
              <w:t xml:space="preserve"> and </w:t>
            </w:r>
            <w:r w:rsidR="005947B1">
              <w:rPr>
                <w:rFonts w:ascii="Times New Roman" w:hAnsi="Times New Roman"/>
                <w:sz w:val="24"/>
                <w:szCs w:val="24"/>
                <w:lang w:val="en-GB"/>
              </w:rPr>
              <w:t>‘N</w:t>
            </w:r>
            <w:r w:rsidR="00F13262" w:rsidRPr="00E15A14">
              <w:rPr>
                <w:rFonts w:ascii="Times New Roman" w:hAnsi="Times New Roman"/>
                <w:sz w:val="24"/>
                <w:szCs w:val="24"/>
                <w:lang w:val="en-GB"/>
              </w:rPr>
              <w:t xml:space="preserve">umber of </w:t>
            </w:r>
            <w:r w:rsidR="005947B1">
              <w:rPr>
                <w:rFonts w:ascii="Times New Roman" w:hAnsi="Times New Roman"/>
                <w:sz w:val="24"/>
                <w:szCs w:val="24"/>
                <w:lang w:val="en-GB"/>
              </w:rPr>
              <w:t>i</w:t>
            </w:r>
            <w:r w:rsidR="00F13262" w:rsidRPr="00E15A14">
              <w:rPr>
                <w:rFonts w:ascii="Times New Roman" w:hAnsi="Times New Roman"/>
                <w:sz w:val="24"/>
                <w:szCs w:val="24"/>
                <w:lang w:val="en-GB"/>
              </w:rPr>
              <w:t>nternet/PC-linked overnight deposits</w:t>
            </w:r>
            <w:r w:rsidR="003D1F49">
              <w:rPr>
                <w:rFonts w:ascii="Times New Roman" w:hAnsi="Times New Roman"/>
                <w:sz w:val="24"/>
                <w:szCs w:val="24"/>
                <w:lang w:val="en-GB"/>
              </w:rPr>
              <w:t>’</w:t>
            </w:r>
            <w:r w:rsidR="00F13262">
              <w:rPr>
                <w:rFonts w:ascii="Times New Roman" w:hAnsi="Times New Roman"/>
                <w:sz w:val="24"/>
                <w:szCs w:val="24"/>
                <w:lang w:val="en-GB"/>
              </w:rPr>
              <w:t>.</w:t>
            </w:r>
          </w:p>
        </w:tc>
      </w:tr>
      <w:tr w:rsidR="00E854FF" w:rsidRPr="00F53249" w14:paraId="600F7B8B" w14:textId="77777777" w:rsidTr="003668F9">
        <w:tc>
          <w:tcPr>
            <w:tcW w:w="2405" w:type="dxa"/>
          </w:tcPr>
          <w:p w14:paraId="01850442" w14:textId="77777777" w:rsidR="00E854FF" w:rsidRDefault="00E854FF" w:rsidP="003D1E63">
            <w:pPr>
              <w:spacing w:line="360" w:lineRule="auto"/>
              <w:rPr>
                <w:rFonts w:ascii="Times New Roman" w:hAnsi="Times New Roman"/>
                <w:b/>
                <w:sz w:val="24"/>
                <w:szCs w:val="24"/>
                <w:lang w:val="en-GB"/>
              </w:rPr>
            </w:pPr>
            <w:r>
              <w:rPr>
                <w:rFonts w:ascii="Times New Roman" w:hAnsi="Times New Roman"/>
                <w:b/>
                <w:sz w:val="24"/>
                <w:szCs w:val="24"/>
                <w:lang w:val="en-GB"/>
              </w:rPr>
              <w:lastRenderedPageBreak/>
              <w:t>Number of payment accounts</w:t>
            </w:r>
            <w:r>
              <w:rPr>
                <w:rStyle w:val="FootnoteReference"/>
                <w:rFonts w:ascii="Times New Roman" w:hAnsi="Times New Roman"/>
                <w:b/>
                <w:sz w:val="24"/>
                <w:szCs w:val="24"/>
                <w:lang w:val="en-GB"/>
              </w:rPr>
              <w:footnoteReference w:id="9"/>
            </w:r>
          </w:p>
          <w:p w14:paraId="670115A4" w14:textId="77777777" w:rsidR="00E854FF" w:rsidRPr="00760F3B" w:rsidRDefault="00E854FF" w:rsidP="003D1E63">
            <w:pPr>
              <w:rPr>
                <w:rFonts w:ascii="Times New Roman" w:hAnsi="Times New Roman"/>
                <w:b/>
                <w:sz w:val="24"/>
                <w:szCs w:val="24"/>
                <w:lang w:val="en-GB"/>
              </w:rPr>
            </w:pPr>
          </w:p>
        </w:tc>
        <w:tc>
          <w:tcPr>
            <w:tcW w:w="7229" w:type="dxa"/>
          </w:tcPr>
          <w:p w14:paraId="2FA8213A" w14:textId="22B2012C" w:rsidR="002B76B7" w:rsidRPr="00760F3B" w:rsidRDefault="00D37AB6" w:rsidP="00236AA6">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Includes all kinds of </w:t>
            </w:r>
            <w:r w:rsidRPr="00D37AB6">
              <w:rPr>
                <w:rFonts w:ascii="Times New Roman" w:hAnsi="Times New Roman"/>
                <w:sz w:val="24"/>
                <w:szCs w:val="24"/>
                <w:lang w:val="en-GB"/>
              </w:rPr>
              <w:t>accounts involved in the payment process, i.e. these are the accounts held in the name of the client and the ones used for the execution of payment transactions.</w:t>
            </w:r>
            <w:r>
              <w:rPr>
                <w:rFonts w:ascii="Times New Roman" w:hAnsi="Times New Roman"/>
                <w:sz w:val="24"/>
                <w:szCs w:val="24"/>
                <w:lang w:val="en-GB"/>
              </w:rPr>
              <w:t xml:space="preserve"> </w:t>
            </w:r>
            <w:r w:rsidR="007C6793">
              <w:rPr>
                <w:rFonts w:ascii="Times New Roman" w:hAnsi="Times New Roman"/>
                <w:sz w:val="24"/>
                <w:szCs w:val="24"/>
                <w:lang w:val="en-GB"/>
              </w:rPr>
              <w:t>T</w:t>
            </w:r>
            <w:r w:rsidR="00E854FF" w:rsidRPr="00597D77">
              <w:rPr>
                <w:rFonts w:ascii="Times New Roman" w:hAnsi="Times New Roman"/>
                <w:sz w:val="24"/>
                <w:szCs w:val="24"/>
                <w:lang w:val="en-GB"/>
              </w:rPr>
              <w:t xml:space="preserve">ransferable overnight deposits </w:t>
            </w:r>
            <w:r w:rsidR="007C6793" w:rsidRPr="007C6793">
              <w:rPr>
                <w:rFonts w:ascii="Times New Roman" w:hAnsi="Times New Roman"/>
                <w:sz w:val="24"/>
                <w:szCs w:val="24"/>
                <w:lang w:val="en-GB"/>
              </w:rPr>
              <w:t xml:space="preserve">as well as transferable overnight deposit accounts with zero or negative balances </w:t>
            </w:r>
            <w:r w:rsidR="00E854FF" w:rsidRPr="00597D77">
              <w:rPr>
                <w:rFonts w:ascii="Times New Roman" w:hAnsi="Times New Roman"/>
                <w:sz w:val="24"/>
                <w:szCs w:val="24"/>
                <w:lang w:val="en-GB"/>
              </w:rPr>
              <w:t>should be included in payment accounts</w:t>
            </w:r>
            <w:r w:rsidR="00E63B1A">
              <w:rPr>
                <w:rFonts w:ascii="Times New Roman" w:hAnsi="Times New Roman"/>
                <w:sz w:val="24"/>
                <w:szCs w:val="24"/>
                <w:lang w:val="en-GB"/>
              </w:rPr>
              <w:t xml:space="preserve"> (non-transferable </w:t>
            </w:r>
            <w:r w:rsidR="00AB544C">
              <w:rPr>
                <w:rFonts w:ascii="Times New Roman" w:hAnsi="Times New Roman"/>
                <w:sz w:val="24"/>
                <w:szCs w:val="24"/>
                <w:lang w:val="en-GB"/>
              </w:rPr>
              <w:t xml:space="preserve">overnight </w:t>
            </w:r>
            <w:r w:rsidR="00E63B1A">
              <w:rPr>
                <w:rFonts w:ascii="Times New Roman" w:hAnsi="Times New Roman"/>
                <w:sz w:val="24"/>
                <w:szCs w:val="24"/>
                <w:lang w:val="en-GB"/>
              </w:rPr>
              <w:t>deposits are excluded)</w:t>
            </w:r>
            <w:r w:rsidR="00E854FF" w:rsidRPr="00597D77">
              <w:rPr>
                <w:rFonts w:ascii="Times New Roman" w:hAnsi="Times New Roman"/>
                <w:sz w:val="24"/>
                <w:szCs w:val="24"/>
                <w:lang w:val="en-GB"/>
              </w:rPr>
              <w:t xml:space="preserve">. </w:t>
            </w:r>
            <w:r w:rsidR="007C6793">
              <w:rPr>
                <w:rFonts w:ascii="Times New Roman" w:hAnsi="Times New Roman"/>
                <w:sz w:val="24"/>
                <w:szCs w:val="24"/>
                <w:lang w:val="en-GB"/>
              </w:rPr>
              <w:t xml:space="preserve">The same applies to </w:t>
            </w:r>
            <w:r w:rsidR="00E854FF" w:rsidRPr="00597D77">
              <w:rPr>
                <w:rFonts w:ascii="Times New Roman" w:hAnsi="Times New Roman"/>
                <w:sz w:val="24"/>
                <w:szCs w:val="24"/>
                <w:lang w:val="en-GB"/>
              </w:rPr>
              <w:t xml:space="preserve">e-money accounts </w:t>
            </w:r>
            <w:proofErr w:type="gramStart"/>
            <w:r w:rsidR="007C6793">
              <w:rPr>
                <w:rFonts w:ascii="Times New Roman" w:hAnsi="Times New Roman"/>
                <w:sz w:val="24"/>
                <w:szCs w:val="24"/>
                <w:lang w:val="en-GB"/>
              </w:rPr>
              <w:t xml:space="preserve">and </w:t>
            </w:r>
            <w:r w:rsidR="002B76B7">
              <w:rPr>
                <w:rFonts w:ascii="Times New Roman" w:hAnsi="Times New Roman"/>
                <w:sz w:val="24"/>
                <w:szCs w:val="24"/>
                <w:lang w:val="en-GB"/>
              </w:rPr>
              <w:t>also</w:t>
            </w:r>
            <w:proofErr w:type="gramEnd"/>
            <w:r w:rsidR="002B76B7">
              <w:rPr>
                <w:rFonts w:ascii="Times New Roman" w:hAnsi="Times New Roman"/>
                <w:sz w:val="24"/>
                <w:szCs w:val="24"/>
                <w:lang w:val="en-GB"/>
              </w:rPr>
              <w:t xml:space="preserve"> </w:t>
            </w:r>
            <w:r w:rsidR="007C6793">
              <w:rPr>
                <w:rFonts w:ascii="Times New Roman" w:hAnsi="Times New Roman"/>
                <w:sz w:val="24"/>
                <w:szCs w:val="24"/>
                <w:lang w:val="en-GB"/>
              </w:rPr>
              <w:t>c</w:t>
            </w:r>
            <w:r w:rsidR="007C6793" w:rsidRPr="00597D77">
              <w:rPr>
                <w:rFonts w:ascii="Times New Roman" w:hAnsi="Times New Roman"/>
                <w:sz w:val="24"/>
                <w:szCs w:val="24"/>
                <w:lang w:val="en-GB"/>
              </w:rPr>
              <w:t xml:space="preserve">redit card accounts </w:t>
            </w:r>
            <w:r w:rsidR="00E854FF" w:rsidRPr="00597D77">
              <w:rPr>
                <w:rFonts w:ascii="Times New Roman" w:hAnsi="Times New Roman"/>
                <w:sz w:val="24"/>
                <w:szCs w:val="24"/>
                <w:lang w:val="en-GB"/>
              </w:rPr>
              <w:t>with a credit feature. Deposits redeemable at notice</w:t>
            </w:r>
            <w:r w:rsidR="00E854FF">
              <w:rPr>
                <w:rStyle w:val="FootnoteReference"/>
                <w:rFonts w:ascii="Times New Roman" w:hAnsi="Times New Roman"/>
                <w:sz w:val="24"/>
                <w:szCs w:val="24"/>
                <w:lang w:val="en-GB"/>
              </w:rPr>
              <w:footnoteReference w:id="10"/>
            </w:r>
            <w:r w:rsidR="00236AA6">
              <w:rPr>
                <w:rFonts w:ascii="Times New Roman" w:hAnsi="Times New Roman"/>
                <w:sz w:val="24"/>
                <w:szCs w:val="24"/>
                <w:lang w:val="en-GB"/>
              </w:rPr>
              <w:t xml:space="preserve"> are excluded, as are overnight deposits that are non-transferable</w:t>
            </w:r>
            <w:r w:rsidR="00E854FF" w:rsidRPr="00597D77">
              <w:rPr>
                <w:rFonts w:ascii="Times New Roman" w:hAnsi="Times New Roman"/>
                <w:sz w:val="24"/>
                <w:szCs w:val="24"/>
                <w:lang w:val="en-GB"/>
              </w:rPr>
              <w:t>. Investment accounts are not always included in payment accounts (</w:t>
            </w:r>
            <w:r w:rsidR="007B27A4">
              <w:rPr>
                <w:rFonts w:ascii="Times New Roman" w:hAnsi="Times New Roman"/>
                <w:sz w:val="24"/>
                <w:szCs w:val="24"/>
                <w:lang w:val="en-GB"/>
              </w:rPr>
              <w:t xml:space="preserve">e.g. </w:t>
            </w:r>
            <w:r w:rsidR="00E854FF" w:rsidRPr="00597D77">
              <w:rPr>
                <w:rFonts w:ascii="Times New Roman" w:hAnsi="Times New Roman"/>
                <w:sz w:val="24"/>
                <w:szCs w:val="24"/>
                <w:lang w:val="en-GB"/>
              </w:rPr>
              <w:t xml:space="preserve">it would be possible for a </w:t>
            </w:r>
            <w:r w:rsidR="00C436A0">
              <w:rPr>
                <w:rFonts w:ascii="Times New Roman" w:hAnsi="Times New Roman"/>
                <w:sz w:val="24"/>
                <w:szCs w:val="24"/>
                <w:lang w:val="en-GB"/>
              </w:rPr>
              <w:t>CI</w:t>
            </w:r>
            <w:r w:rsidR="00E854FF" w:rsidRPr="00597D77">
              <w:rPr>
                <w:rFonts w:ascii="Times New Roman" w:hAnsi="Times New Roman"/>
                <w:sz w:val="24"/>
                <w:szCs w:val="24"/>
                <w:lang w:val="en-GB"/>
              </w:rPr>
              <w:t xml:space="preserve"> to additionally operate an investment account as a payment account).</w:t>
            </w:r>
            <w:r w:rsidR="007C6793">
              <w:rPr>
                <w:rFonts w:ascii="Times New Roman" w:hAnsi="Times New Roman"/>
                <w:sz w:val="24"/>
                <w:szCs w:val="24"/>
                <w:lang w:val="en-GB"/>
              </w:rPr>
              <w:t xml:space="preserve"> </w:t>
            </w:r>
          </w:p>
        </w:tc>
      </w:tr>
      <w:tr w:rsidR="00E854FF" w:rsidRPr="00F53249" w14:paraId="298439B2" w14:textId="77777777" w:rsidTr="003668F9">
        <w:tc>
          <w:tcPr>
            <w:tcW w:w="2405" w:type="dxa"/>
          </w:tcPr>
          <w:p w14:paraId="4D037CA8" w14:textId="77777777" w:rsidR="00E854FF" w:rsidRPr="00345E39" w:rsidRDefault="00345E39" w:rsidP="003D1E63">
            <w:pPr>
              <w:spacing w:line="360" w:lineRule="auto"/>
              <w:rPr>
                <w:rFonts w:ascii="Times New Roman" w:hAnsi="Times New Roman"/>
                <w:b/>
                <w:sz w:val="24"/>
                <w:szCs w:val="24"/>
                <w:lang w:val="en-GB"/>
              </w:rPr>
            </w:pPr>
            <w:r>
              <w:rPr>
                <w:rFonts w:ascii="Times New Roman" w:hAnsi="Times New Roman"/>
                <w:b/>
                <w:sz w:val="24"/>
                <w:szCs w:val="24"/>
                <w:lang w:val="en-GB"/>
              </w:rPr>
              <w:t>Number of e-money accounts</w:t>
            </w:r>
            <w:r>
              <w:rPr>
                <w:rStyle w:val="FootnoteReference"/>
                <w:rFonts w:ascii="Times New Roman" w:hAnsi="Times New Roman"/>
                <w:b/>
                <w:sz w:val="24"/>
                <w:szCs w:val="24"/>
                <w:lang w:val="en-GB"/>
              </w:rPr>
              <w:footnoteReference w:id="11"/>
            </w:r>
          </w:p>
        </w:tc>
        <w:tc>
          <w:tcPr>
            <w:tcW w:w="7229" w:type="dxa"/>
          </w:tcPr>
          <w:p w14:paraId="64714F38" w14:textId="77777777" w:rsidR="00E854FF" w:rsidRDefault="00345E39" w:rsidP="00C560DF">
            <w:pPr>
              <w:spacing w:after="120" w:line="360" w:lineRule="auto"/>
              <w:jc w:val="both"/>
              <w:rPr>
                <w:rFonts w:ascii="Times New Roman" w:hAnsi="Times New Roman"/>
                <w:sz w:val="24"/>
                <w:szCs w:val="24"/>
                <w:lang w:val="en-GB"/>
              </w:rPr>
            </w:pPr>
            <w:r>
              <w:rPr>
                <w:rFonts w:ascii="Times New Roman" w:hAnsi="Times New Roman"/>
                <w:sz w:val="24"/>
                <w:szCs w:val="24"/>
                <w:lang w:val="en-GB"/>
              </w:rPr>
              <w:t>Include the number of e-money accounts.</w:t>
            </w:r>
          </w:p>
          <w:p w14:paraId="19D207DC" w14:textId="347A3F2A" w:rsidR="00F558B5" w:rsidRPr="00F558B5" w:rsidRDefault="00331354" w:rsidP="00C560DF">
            <w:pPr>
              <w:spacing w:after="120" w:line="360" w:lineRule="auto"/>
              <w:jc w:val="both"/>
              <w:rPr>
                <w:rFonts w:ascii="Times New Roman" w:hAnsi="Times New Roman"/>
                <w:sz w:val="24"/>
                <w:szCs w:val="24"/>
                <w:lang w:val="en-GB"/>
              </w:rPr>
            </w:pPr>
            <w:r w:rsidRPr="00331354">
              <w:rPr>
                <w:rFonts w:ascii="Times New Roman" w:hAnsi="Times New Roman"/>
                <w:sz w:val="24"/>
                <w:szCs w:val="24"/>
                <w:lang w:val="en-GB"/>
              </w:rPr>
              <w:t xml:space="preserve">E-money institutions report number of e-money accounts, regardless of whether for </w:t>
            </w:r>
            <w:proofErr w:type="gramStart"/>
            <w:r w:rsidRPr="00331354">
              <w:rPr>
                <w:rFonts w:ascii="Times New Roman" w:hAnsi="Times New Roman"/>
                <w:sz w:val="24"/>
                <w:szCs w:val="24"/>
                <w:lang w:val="en-GB"/>
              </w:rPr>
              <w:t>a safeguard reason clients funds</w:t>
            </w:r>
            <w:proofErr w:type="gramEnd"/>
            <w:r w:rsidRPr="00331354">
              <w:rPr>
                <w:rFonts w:ascii="Times New Roman" w:hAnsi="Times New Roman"/>
                <w:sz w:val="24"/>
                <w:szCs w:val="24"/>
                <w:lang w:val="en-GB"/>
              </w:rPr>
              <w:t xml:space="preserve"> </w:t>
            </w:r>
            <w:r w:rsidR="00F825E9" w:rsidRPr="00F825E9">
              <w:rPr>
                <w:rFonts w:ascii="Times New Roman" w:hAnsi="Times New Roman"/>
                <w:sz w:val="24"/>
                <w:szCs w:val="24"/>
                <w:lang w:val="en-GB"/>
              </w:rPr>
              <w:t>are held on the name of the issuing e-money institution with another PSP.</w:t>
            </w:r>
          </w:p>
        </w:tc>
      </w:tr>
      <w:tr w:rsidR="00345E39" w:rsidRPr="00F53249" w14:paraId="6A8CC634" w14:textId="77777777" w:rsidTr="003668F9">
        <w:tc>
          <w:tcPr>
            <w:tcW w:w="2405" w:type="dxa"/>
          </w:tcPr>
          <w:p w14:paraId="50A63309" w14:textId="77777777" w:rsidR="00345E39" w:rsidRPr="00345E39" w:rsidRDefault="00345E39" w:rsidP="003D1E63">
            <w:pPr>
              <w:spacing w:line="360" w:lineRule="auto"/>
              <w:rPr>
                <w:rFonts w:ascii="Times New Roman" w:hAnsi="Times New Roman"/>
                <w:b/>
                <w:sz w:val="24"/>
                <w:szCs w:val="24"/>
                <w:lang w:val="en-GB"/>
              </w:rPr>
            </w:pPr>
            <w:r w:rsidRPr="00345E39">
              <w:rPr>
                <w:rFonts w:ascii="Times New Roman" w:hAnsi="Times New Roman"/>
                <w:b/>
                <w:sz w:val="24"/>
                <w:szCs w:val="24"/>
                <w:lang w:val="en-GB"/>
              </w:rPr>
              <w:t>Outstanding value on e-money storages issued</w:t>
            </w:r>
            <w:r w:rsidRPr="00345E39">
              <w:rPr>
                <w:rFonts w:cs="Arial"/>
                <w:b/>
                <w:sz w:val="18"/>
                <w:szCs w:val="18"/>
                <w:lang w:val="en-GB"/>
              </w:rPr>
              <w:t xml:space="preserve"> </w:t>
            </w:r>
          </w:p>
        </w:tc>
        <w:tc>
          <w:tcPr>
            <w:tcW w:w="7229" w:type="dxa"/>
          </w:tcPr>
          <w:p w14:paraId="1300C427" w14:textId="77777777" w:rsidR="00345E39" w:rsidRDefault="00345E39" w:rsidP="00C560DF">
            <w:pPr>
              <w:spacing w:after="120" w:line="360" w:lineRule="auto"/>
              <w:jc w:val="both"/>
              <w:rPr>
                <w:rFonts w:ascii="Times New Roman" w:hAnsi="Times New Roman"/>
                <w:sz w:val="24"/>
                <w:szCs w:val="24"/>
                <w:lang w:val="en-GB"/>
              </w:rPr>
            </w:pPr>
            <w:r>
              <w:rPr>
                <w:rFonts w:ascii="Times New Roman" w:hAnsi="Times New Roman"/>
                <w:sz w:val="24"/>
                <w:szCs w:val="24"/>
                <w:lang w:val="en-GB"/>
              </w:rPr>
              <w:t>Include the v</w:t>
            </w:r>
            <w:r w:rsidR="005A64AF">
              <w:rPr>
                <w:rFonts w:ascii="Times New Roman" w:hAnsi="Times New Roman"/>
                <w:sz w:val="24"/>
                <w:szCs w:val="24"/>
                <w:lang w:val="en-GB"/>
              </w:rPr>
              <w:t>alue</w:t>
            </w:r>
            <w:r w:rsidRPr="00345E39">
              <w:rPr>
                <w:rFonts w:ascii="Times New Roman" w:hAnsi="Times New Roman"/>
                <w:sz w:val="24"/>
                <w:szCs w:val="24"/>
                <w:lang w:val="en-GB"/>
              </w:rPr>
              <w:t xml:space="preserve"> of e-money issued by electronic money issuers and held by</w:t>
            </w:r>
            <w:r w:rsidR="005A64AF">
              <w:rPr>
                <w:rFonts w:ascii="Times New Roman" w:hAnsi="Times New Roman"/>
                <w:sz w:val="24"/>
                <w:szCs w:val="24"/>
                <w:lang w:val="en-GB"/>
              </w:rPr>
              <w:t xml:space="preserve"> entities other than the issuer</w:t>
            </w:r>
            <w:r w:rsidRPr="00345E39">
              <w:rPr>
                <w:rFonts w:ascii="Times New Roman" w:hAnsi="Times New Roman"/>
                <w:sz w:val="24"/>
                <w:szCs w:val="24"/>
                <w:lang w:val="en-GB"/>
              </w:rPr>
              <w:t>.</w:t>
            </w:r>
          </w:p>
          <w:p w14:paraId="1F71C484" w14:textId="77777777" w:rsidR="00345E39" w:rsidRDefault="00345E39" w:rsidP="00C560DF">
            <w:pPr>
              <w:spacing w:after="120" w:line="360" w:lineRule="auto"/>
              <w:jc w:val="both"/>
              <w:rPr>
                <w:rFonts w:ascii="Times New Roman" w:hAnsi="Times New Roman"/>
                <w:sz w:val="24"/>
                <w:szCs w:val="24"/>
                <w:lang w:val="en-GB"/>
              </w:rPr>
            </w:pPr>
            <w:r w:rsidRPr="00345E39">
              <w:rPr>
                <w:rFonts w:ascii="Times New Roman" w:hAnsi="Times New Roman"/>
                <w:sz w:val="24"/>
                <w:szCs w:val="24"/>
                <w:lang w:val="en-GB"/>
              </w:rPr>
              <w:t>This includes balances on e-money accounts and e-money loaded to cards with an e-money function on which e-money can be stored directly.</w:t>
            </w:r>
          </w:p>
        </w:tc>
      </w:tr>
      <w:tr w:rsidR="00C436A0" w:rsidRPr="00F53249" w14:paraId="7E43D663" w14:textId="77777777" w:rsidTr="003668F9">
        <w:tc>
          <w:tcPr>
            <w:tcW w:w="2405" w:type="dxa"/>
          </w:tcPr>
          <w:p w14:paraId="359CB952" w14:textId="77777777" w:rsidR="00C436A0" w:rsidRPr="00C436A0" w:rsidRDefault="00C436A0" w:rsidP="003D1E63">
            <w:pPr>
              <w:spacing w:line="360" w:lineRule="auto"/>
              <w:rPr>
                <w:rFonts w:ascii="Times New Roman" w:hAnsi="Times New Roman"/>
                <w:b/>
                <w:sz w:val="24"/>
                <w:szCs w:val="24"/>
                <w:lang w:val="en-GB"/>
              </w:rPr>
            </w:pPr>
            <w:r w:rsidRPr="00C436A0">
              <w:rPr>
                <w:rFonts w:ascii="Times New Roman" w:hAnsi="Times New Roman"/>
                <w:b/>
                <w:sz w:val="24"/>
                <w:szCs w:val="24"/>
                <w:lang w:val="en-GB"/>
              </w:rPr>
              <w:t>Account Information Services Providers (AISP</w:t>
            </w:r>
            <w:r w:rsidR="00535BAE">
              <w:rPr>
                <w:rFonts w:ascii="Times New Roman" w:hAnsi="Times New Roman"/>
                <w:b/>
                <w:sz w:val="24"/>
                <w:szCs w:val="24"/>
                <w:lang w:val="en-GB"/>
              </w:rPr>
              <w:t>s</w:t>
            </w:r>
            <w:r w:rsidRPr="00C436A0">
              <w:rPr>
                <w:rFonts w:ascii="Times New Roman" w:hAnsi="Times New Roman"/>
                <w:b/>
                <w:sz w:val="24"/>
                <w:szCs w:val="24"/>
                <w:lang w:val="en-GB"/>
              </w:rPr>
              <w:t>)</w:t>
            </w:r>
            <w:r w:rsidR="00AC5138">
              <w:rPr>
                <w:rStyle w:val="FootnoteReference"/>
                <w:rFonts w:ascii="Times New Roman" w:hAnsi="Times New Roman"/>
                <w:sz w:val="24"/>
                <w:szCs w:val="24"/>
                <w:lang w:val="en-GB"/>
              </w:rPr>
              <w:footnoteReference w:id="12"/>
            </w:r>
            <w:r w:rsidRPr="00C436A0">
              <w:rPr>
                <w:rFonts w:ascii="Times New Roman" w:hAnsi="Times New Roman"/>
                <w:b/>
                <w:sz w:val="24"/>
                <w:szCs w:val="24"/>
                <w:lang w:val="en-GB"/>
              </w:rPr>
              <w:t xml:space="preserve"> - Number of clients</w:t>
            </w:r>
          </w:p>
        </w:tc>
        <w:tc>
          <w:tcPr>
            <w:tcW w:w="7229" w:type="dxa"/>
          </w:tcPr>
          <w:p w14:paraId="587E3F00" w14:textId="473BE421" w:rsidR="00E63D7B" w:rsidRPr="00E63D7B" w:rsidRDefault="00C436A0" w:rsidP="00C8203F">
            <w:pPr>
              <w:spacing w:after="120" w:line="360" w:lineRule="auto"/>
              <w:jc w:val="both"/>
              <w:rPr>
                <w:rFonts w:ascii="Times New Roman" w:hAnsi="Times New Roman"/>
                <w:sz w:val="24"/>
                <w:szCs w:val="24"/>
                <w:lang w:val="en-GB"/>
              </w:rPr>
            </w:pPr>
            <w:r w:rsidRPr="00C436A0">
              <w:rPr>
                <w:rFonts w:ascii="Times New Roman" w:hAnsi="Times New Roman"/>
                <w:sz w:val="24"/>
                <w:szCs w:val="24"/>
                <w:lang w:val="en-GB"/>
              </w:rPr>
              <w:t>Report the number of payment service users</w:t>
            </w:r>
            <w:r w:rsidR="00D60F53">
              <w:rPr>
                <w:rFonts w:ascii="Times New Roman" w:hAnsi="Times New Roman"/>
                <w:sz w:val="24"/>
                <w:szCs w:val="24"/>
                <w:lang w:val="en-GB"/>
              </w:rPr>
              <w:t xml:space="preserve"> (PSU</w:t>
            </w:r>
            <w:r w:rsidR="0074050F">
              <w:rPr>
                <w:rFonts w:ascii="Times New Roman" w:hAnsi="Times New Roman"/>
                <w:sz w:val="24"/>
                <w:szCs w:val="24"/>
                <w:lang w:val="en-GB"/>
              </w:rPr>
              <w:t>s</w:t>
            </w:r>
            <w:bookmarkStart w:id="20" w:name="_Ref95804109"/>
            <w:r w:rsidR="00FD29EC">
              <w:rPr>
                <w:rStyle w:val="FootnoteReference"/>
                <w:rFonts w:ascii="Times New Roman" w:hAnsi="Times New Roman"/>
                <w:sz w:val="24"/>
                <w:szCs w:val="24"/>
                <w:lang w:val="en-GB"/>
              </w:rPr>
              <w:footnoteReference w:id="13"/>
            </w:r>
            <w:bookmarkEnd w:id="20"/>
            <w:r w:rsidR="00D60F53">
              <w:rPr>
                <w:rFonts w:ascii="Times New Roman" w:hAnsi="Times New Roman"/>
                <w:sz w:val="24"/>
                <w:szCs w:val="24"/>
                <w:lang w:val="en-GB"/>
              </w:rPr>
              <w:t>)</w:t>
            </w:r>
            <w:r w:rsidRPr="00C436A0">
              <w:rPr>
                <w:rFonts w:ascii="Times New Roman" w:hAnsi="Times New Roman"/>
                <w:sz w:val="24"/>
                <w:szCs w:val="24"/>
                <w:lang w:val="en-GB"/>
              </w:rPr>
              <w:t xml:space="preserve"> to wh</w:t>
            </w:r>
            <w:r w:rsidR="00753F16">
              <w:rPr>
                <w:rFonts w:ascii="Times New Roman" w:hAnsi="Times New Roman"/>
                <w:sz w:val="24"/>
                <w:szCs w:val="24"/>
                <w:lang w:val="en-GB"/>
              </w:rPr>
              <w:t>om</w:t>
            </w:r>
            <w:r w:rsidRPr="00C436A0">
              <w:rPr>
                <w:rFonts w:ascii="Times New Roman" w:hAnsi="Times New Roman"/>
                <w:sz w:val="24"/>
                <w:szCs w:val="24"/>
                <w:lang w:val="en-GB"/>
              </w:rPr>
              <w:t xml:space="preserve"> the AISP offers its services. AISPs that are </w:t>
            </w:r>
            <w:r>
              <w:rPr>
                <w:rFonts w:ascii="Times New Roman" w:hAnsi="Times New Roman"/>
                <w:sz w:val="24"/>
                <w:szCs w:val="24"/>
                <w:lang w:val="en-GB"/>
              </w:rPr>
              <w:t>CIs</w:t>
            </w:r>
            <w:r w:rsidRPr="00C436A0">
              <w:rPr>
                <w:rFonts w:ascii="Times New Roman" w:hAnsi="Times New Roman"/>
                <w:sz w:val="24"/>
                <w:szCs w:val="24"/>
                <w:lang w:val="en-GB"/>
              </w:rPr>
              <w:t xml:space="preserve"> or </w:t>
            </w:r>
            <w:r>
              <w:rPr>
                <w:rFonts w:ascii="Times New Roman" w:hAnsi="Times New Roman"/>
                <w:sz w:val="24"/>
                <w:szCs w:val="24"/>
                <w:lang w:val="en-GB"/>
              </w:rPr>
              <w:t>PIs</w:t>
            </w:r>
            <w:r w:rsidRPr="00C436A0">
              <w:rPr>
                <w:rFonts w:ascii="Times New Roman" w:hAnsi="Times New Roman"/>
                <w:sz w:val="24"/>
                <w:szCs w:val="24"/>
                <w:lang w:val="en-GB"/>
              </w:rPr>
              <w:t xml:space="preserve"> report the number of clients who have signed up for account information services and who were clients on the last day of the reporting period, regardless of whether those clients </w:t>
            </w:r>
            <w:r w:rsidRPr="00C436A0">
              <w:rPr>
                <w:rFonts w:ascii="Times New Roman" w:hAnsi="Times New Roman"/>
                <w:sz w:val="24"/>
                <w:szCs w:val="24"/>
                <w:lang w:val="en-GB"/>
              </w:rPr>
              <w:lastRenderedPageBreak/>
              <w:t>have used the services</w:t>
            </w:r>
            <w:r w:rsidR="00E63D7B">
              <w:rPr>
                <w:rFonts w:ascii="Times New Roman" w:hAnsi="Times New Roman"/>
                <w:sz w:val="24"/>
                <w:szCs w:val="24"/>
                <w:lang w:val="en-GB"/>
              </w:rPr>
              <w:t xml:space="preserve"> and regardless </w:t>
            </w:r>
            <w:r w:rsidR="00E63D7B" w:rsidRPr="00E63D7B">
              <w:rPr>
                <w:rFonts w:ascii="Times New Roman" w:hAnsi="Times New Roman"/>
                <w:sz w:val="24"/>
                <w:szCs w:val="24"/>
                <w:lang w:val="en-GB"/>
              </w:rPr>
              <w:t xml:space="preserve">of the payment account </w:t>
            </w:r>
            <w:r w:rsidR="00E63D7B" w:rsidRPr="005E3E5C">
              <w:rPr>
                <w:rFonts w:ascii="Times New Roman" w:hAnsi="Times New Roman"/>
                <w:sz w:val="24"/>
                <w:szCs w:val="24"/>
                <w:lang w:val="en-GB"/>
              </w:rPr>
              <w:t>type</w:t>
            </w:r>
            <w:r w:rsidR="00E63D7B" w:rsidRPr="005E3E5C">
              <w:rPr>
                <w:rStyle w:val="FootnoteReference"/>
                <w:rFonts w:ascii="Times New Roman" w:hAnsi="Times New Roman"/>
                <w:sz w:val="24"/>
                <w:szCs w:val="24"/>
                <w:lang w:val="en-GB"/>
              </w:rPr>
              <w:footnoteReference w:id="14"/>
            </w:r>
            <w:r w:rsidR="00E63D7B" w:rsidRPr="005E3E5C">
              <w:rPr>
                <w:rFonts w:ascii="Times New Roman" w:hAnsi="Times New Roman"/>
                <w:sz w:val="24"/>
                <w:szCs w:val="24"/>
                <w:lang w:val="en-GB"/>
              </w:rPr>
              <w:t xml:space="preserve"> for</w:t>
            </w:r>
            <w:r w:rsidR="00E63D7B" w:rsidRPr="00E63D7B">
              <w:rPr>
                <w:rFonts w:ascii="Times New Roman" w:hAnsi="Times New Roman"/>
                <w:sz w:val="24"/>
                <w:szCs w:val="24"/>
                <w:lang w:val="en-GB"/>
              </w:rPr>
              <w:t xml:space="preserve"> which account information services are provided</w:t>
            </w:r>
            <w:r w:rsidRPr="00E63D7B">
              <w:rPr>
                <w:rFonts w:ascii="Times New Roman" w:hAnsi="Times New Roman"/>
                <w:sz w:val="24"/>
                <w:szCs w:val="24"/>
                <w:lang w:val="en-GB"/>
              </w:rPr>
              <w:t>.</w:t>
            </w:r>
            <w:r w:rsidRPr="00C436A0">
              <w:rPr>
                <w:rFonts w:ascii="Times New Roman" w:hAnsi="Times New Roman"/>
                <w:sz w:val="24"/>
                <w:szCs w:val="24"/>
                <w:lang w:val="en-GB"/>
              </w:rPr>
              <w:t xml:space="preserve"> The </w:t>
            </w:r>
            <w:r>
              <w:rPr>
                <w:rFonts w:ascii="Times New Roman" w:hAnsi="Times New Roman"/>
                <w:sz w:val="24"/>
                <w:szCs w:val="24"/>
                <w:lang w:val="en-GB"/>
              </w:rPr>
              <w:t>geographical</w:t>
            </w:r>
            <w:r w:rsidRPr="00C436A0">
              <w:rPr>
                <w:rFonts w:ascii="Times New Roman" w:hAnsi="Times New Roman"/>
                <w:sz w:val="24"/>
                <w:szCs w:val="24"/>
                <w:lang w:val="en-GB"/>
              </w:rPr>
              <w:t xml:space="preserve"> breakdown refers to the </w:t>
            </w:r>
            <w:r w:rsidR="00C8203F">
              <w:rPr>
                <w:rFonts w:ascii="Times New Roman" w:hAnsi="Times New Roman"/>
                <w:sz w:val="24"/>
                <w:szCs w:val="24"/>
                <w:lang w:val="en-GB"/>
              </w:rPr>
              <w:t>residency</w:t>
            </w:r>
            <w:r w:rsidRPr="00C436A0">
              <w:rPr>
                <w:rFonts w:ascii="Times New Roman" w:hAnsi="Times New Roman"/>
                <w:sz w:val="24"/>
                <w:szCs w:val="24"/>
                <w:lang w:val="en-GB"/>
              </w:rPr>
              <w:t xml:space="preserve"> of the PSU</w:t>
            </w:r>
            <w:r w:rsidR="00EB23A5">
              <w:rPr>
                <w:rStyle w:val="FootnoteReference"/>
                <w:rFonts w:ascii="Times New Roman" w:hAnsi="Times New Roman"/>
                <w:sz w:val="24"/>
                <w:szCs w:val="24"/>
                <w:lang w:val="en-GB"/>
              </w:rPr>
              <w:footnoteReference w:id="15"/>
            </w:r>
            <w:r w:rsidR="008C6617">
              <w:rPr>
                <w:rFonts w:ascii="Times New Roman" w:hAnsi="Times New Roman"/>
                <w:sz w:val="24"/>
                <w:szCs w:val="24"/>
                <w:lang w:val="en-GB"/>
              </w:rPr>
              <w:t xml:space="preserve"> </w:t>
            </w:r>
            <w:r w:rsidRPr="00760F3B">
              <w:rPr>
                <w:rFonts w:ascii="Times New Roman" w:hAnsi="Times New Roman"/>
                <w:sz w:val="24"/>
                <w:szCs w:val="24"/>
                <w:lang w:val="en-GB"/>
              </w:rPr>
              <w:t>in each individual EEA member, with a separate total for countries outside the EEA.</w:t>
            </w:r>
          </w:p>
        </w:tc>
      </w:tr>
      <w:tr w:rsidR="00C436A0" w:rsidRPr="00F53249" w14:paraId="56E698D0" w14:textId="77777777" w:rsidTr="003668F9">
        <w:tc>
          <w:tcPr>
            <w:tcW w:w="2405" w:type="dxa"/>
          </w:tcPr>
          <w:p w14:paraId="1BF4E61D" w14:textId="77777777" w:rsidR="00C436A0" w:rsidRDefault="008760BB" w:rsidP="003D1E63">
            <w:pPr>
              <w:spacing w:line="360" w:lineRule="auto"/>
              <w:rPr>
                <w:rFonts w:ascii="Times New Roman" w:hAnsi="Times New Roman"/>
                <w:b/>
                <w:sz w:val="24"/>
                <w:szCs w:val="24"/>
                <w:lang w:val="en-GB"/>
              </w:rPr>
            </w:pPr>
            <w:r w:rsidRPr="008760BB">
              <w:rPr>
                <w:rFonts w:ascii="Times New Roman" w:hAnsi="Times New Roman"/>
                <w:b/>
                <w:sz w:val="24"/>
                <w:szCs w:val="24"/>
                <w:lang w:val="en-GB"/>
              </w:rPr>
              <w:lastRenderedPageBreak/>
              <w:t>Account Servicing Payment Services Providers</w:t>
            </w:r>
            <w:r w:rsidR="00CD610E">
              <w:rPr>
                <w:rFonts w:ascii="Times New Roman" w:hAnsi="Times New Roman"/>
                <w:b/>
                <w:sz w:val="24"/>
                <w:szCs w:val="24"/>
                <w:lang w:val="en-GB"/>
              </w:rPr>
              <w:t xml:space="preserve"> (ASPSPs)</w:t>
            </w:r>
            <w:r w:rsidR="00CD610E">
              <w:rPr>
                <w:rStyle w:val="FootnoteReference"/>
                <w:rFonts w:ascii="Times New Roman" w:hAnsi="Times New Roman"/>
                <w:b/>
                <w:sz w:val="24"/>
                <w:szCs w:val="24"/>
                <w:lang w:val="en-GB"/>
              </w:rPr>
              <w:footnoteReference w:id="16"/>
            </w:r>
            <w:r w:rsidRPr="008760BB">
              <w:rPr>
                <w:rFonts w:ascii="Times New Roman" w:hAnsi="Times New Roman"/>
                <w:b/>
                <w:sz w:val="24"/>
                <w:szCs w:val="24"/>
                <w:lang w:val="en-GB"/>
              </w:rPr>
              <w:t xml:space="preserve"> - Number of payment accounts accessed by </w:t>
            </w:r>
            <w:r w:rsidR="00535BAE">
              <w:rPr>
                <w:rFonts w:ascii="Times New Roman" w:hAnsi="Times New Roman"/>
                <w:b/>
                <w:sz w:val="24"/>
                <w:szCs w:val="24"/>
                <w:lang w:val="en-GB"/>
              </w:rPr>
              <w:t>AISPs</w:t>
            </w:r>
          </w:p>
          <w:p w14:paraId="0B8489AE" w14:textId="2134C058" w:rsidR="007C11EE" w:rsidRPr="00345E39" w:rsidRDefault="007C11EE" w:rsidP="003D1E63">
            <w:pPr>
              <w:spacing w:line="360" w:lineRule="auto"/>
              <w:rPr>
                <w:rFonts w:ascii="Times New Roman" w:hAnsi="Times New Roman"/>
                <w:b/>
                <w:sz w:val="24"/>
                <w:szCs w:val="24"/>
                <w:lang w:val="en-GB"/>
              </w:rPr>
            </w:pPr>
          </w:p>
        </w:tc>
        <w:tc>
          <w:tcPr>
            <w:tcW w:w="7229" w:type="dxa"/>
          </w:tcPr>
          <w:p w14:paraId="76A29978" w14:textId="50E25C00" w:rsidR="008A7D07" w:rsidRDefault="00CD610E" w:rsidP="007C11EE">
            <w:pPr>
              <w:spacing w:after="120" w:line="360" w:lineRule="auto"/>
              <w:jc w:val="both"/>
              <w:rPr>
                <w:rFonts w:ascii="Times New Roman" w:hAnsi="Times New Roman"/>
                <w:sz w:val="24"/>
                <w:szCs w:val="24"/>
                <w:lang w:val="en-GB"/>
              </w:rPr>
            </w:pPr>
            <w:r>
              <w:rPr>
                <w:rFonts w:ascii="Times New Roman" w:hAnsi="Times New Roman"/>
                <w:sz w:val="24"/>
                <w:szCs w:val="24"/>
                <w:lang w:val="en-GB"/>
              </w:rPr>
              <w:t>Report t</w:t>
            </w:r>
            <w:r w:rsidRPr="00CD610E">
              <w:rPr>
                <w:rFonts w:ascii="Times New Roman" w:hAnsi="Times New Roman"/>
                <w:sz w:val="24"/>
                <w:szCs w:val="24"/>
                <w:lang w:val="en-GB"/>
              </w:rPr>
              <w:t xml:space="preserve">he number of different accounts accessed by </w:t>
            </w:r>
            <w:r w:rsidR="007C11EE" w:rsidRPr="007C11EE">
              <w:rPr>
                <w:rFonts w:ascii="Times New Roman" w:hAnsi="Times New Roman"/>
                <w:sz w:val="24"/>
                <w:szCs w:val="24"/>
                <w:lang w:val="en-GB"/>
              </w:rPr>
              <w:t xml:space="preserve">(domestic and non-domestic) </w:t>
            </w:r>
            <w:r w:rsidRPr="00CD610E">
              <w:rPr>
                <w:rFonts w:ascii="Times New Roman" w:hAnsi="Times New Roman"/>
                <w:sz w:val="24"/>
                <w:szCs w:val="24"/>
                <w:lang w:val="en-GB"/>
              </w:rPr>
              <w:t>AISP</w:t>
            </w:r>
            <w:r w:rsidR="007C11EE">
              <w:rPr>
                <w:rFonts w:ascii="Times New Roman" w:hAnsi="Times New Roman"/>
                <w:sz w:val="24"/>
                <w:szCs w:val="24"/>
                <w:lang w:val="en-GB"/>
              </w:rPr>
              <w:t>s</w:t>
            </w:r>
            <w:r w:rsidRPr="00CD610E">
              <w:rPr>
                <w:rFonts w:ascii="Times New Roman" w:hAnsi="Times New Roman"/>
                <w:sz w:val="24"/>
                <w:szCs w:val="24"/>
                <w:lang w:val="en-GB"/>
              </w:rPr>
              <w:t xml:space="preserve"> in the reporting period. ASPSPs should report the number of payment accounts accessed by (domestic and non-domestic) AISPs during the reference period. For reporting purposes each account is counted only once, even if it is accessed multiple times, but accounts must be accessed at least once in the reference period to be included in the reporting. </w:t>
            </w:r>
            <w:r w:rsidRPr="00C436A0">
              <w:rPr>
                <w:rFonts w:ascii="Times New Roman" w:hAnsi="Times New Roman"/>
                <w:sz w:val="24"/>
                <w:szCs w:val="24"/>
                <w:lang w:val="en-GB"/>
              </w:rPr>
              <w:t xml:space="preserve">The </w:t>
            </w:r>
            <w:r>
              <w:rPr>
                <w:rFonts w:ascii="Times New Roman" w:hAnsi="Times New Roman"/>
                <w:sz w:val="24"/>
                <w:szCs w:val="24"/>
                <w:lang w:val="en-GB"/>
              </w:rPr>
              <w:t>geographical</w:t>
            </w:r>
            <w:r w:rsidRPr="00C436A0">
              <w:rPr>
                <w:rFonts w:ascii="Times New Roman" w:hAnsi="Times New Roman"/>
                <w:sz w:val="24"/>
                <w:szCs w:val="24"/>
                <w:lang w:val="en-GB"/>
              </w:rPr>
              <w:t xml:space="preserve"> breakdown </w:t>
            </w:r>
            <w:r w:rsidRPr="00CD610E">
              <w:rPr>
                <w:rFonts w:ascii="Times New Roman" w:hAnsi="Times New Roman"/>
                <w:sz w:val="24"/>
                <w:szCs w:val="24"/>
                <w:lang w:val="en-GB"/>
              </w:rPr>
              <w:t>refers to the country</w:t>
            </w:r>
            <w:r w:rsidR="00331354">
              <w:rPr>
                <w:rFonts w:ascii="Times New Roman" w:hAnsi="Times New Roman"/>
                <w:sz w:val="24"/>
                <w:szCs w:val="24"/>
                <w:lang w:val="en-GB"/>
              </w:rPr>
              <w:t xml:space="preserve"> (residency)</w:t>
            </w:r>
            <w:r w:rsidRPr="00CD610E">
              <w:rPr>
                <w:rFonts w:ascii="Times New Roman" w:hAnsi="Times New Roman"/>
                <w:sz w:val="24"/>
                <w:szCs w:val="24"/>
                <w:lang w:val="en-GB"/>
              </w:rPr>
              <w:t xml:space="preserve"> of the AISPs</w:t>
            </w:r>
            <w:r w:rsidR="008A7D07">
              <w:rPr>
                <w:rStyle w:val="FootnoteReference"/>
                <w:rFonts w:ascii="Times New Roman" w:hAnsi="Times New Roman"/>
                <w:sz w:val="24"/>
                <w:szCs w:val="24"/>
                <w:lang w:val="en-GB"/>
              </w:rPr>
              <w:footnoteReference w:id="17"/>
            </w:r>
            <w:r w:rsidRPr="00CD610E">
              <w:rPr>
                <w:rFonts w:ascii="Times New Roman" w:hAnsi="Times New Roman"/>
                <w:sz w:val="24"/>
                <w:szCs w:val="24"/>
                <w:lang w:val="en-GB"/>
              </w:rPr>
              <w:t xml:space="preserve"> </w:t>
            </w:r>
            <w:r w:rsidRPr="00760F3B">
              <w:rPr>
                <w:rFonts w:ascii="Times New Roman" w:hAnsi="Times New Roman"/>
                <w:sz w:val="24"/>
                <w:szCs w:val="24"/>
                <w:lang w:val="en-GB"/>
              </w:rPr>
              <w:t>in each individual EEA member, with a separate total for countries outside the EEA.</w:t>
            </w:r>
            <w:r w:rsidR="00424F3C">
              <w:rPr>
                <w:rFonts w:ascii="Times New Roman" w:hAnsi="Times New Roman"/>
                <w:sz w:val="24"/>
                <w:szCs w:val="24"/>
                <w:lang w:val="en-GB"/>
              </w:rPr>
              <w:t xml:space="preserve"> </w:t>
            </w:r>
            <w:r w:rsidR="00424F3C" w:rsidRPr="00424F3C">
              <w:rPr>
                <w:rFonts w:ascii="Times New Roman" w:hAnsi="Times New Roman"/>
                <w:sz w:val="24"/>
                <w:szCs w:val="24"/>
                <w:lang w:val="en-GB"/>
              </w:rPr>
              <w:t xml:space="preserve">If several AISPs are accessing one account, </w:t>
            </w:r>
            <w:proofErr w:type="gramStart"/>
            <w:r w:rsidR="00424F3C" w:rsidRPr="00424F3C">
              <w:rPr>
                <w:rFonts w:ascii="Times New Roman" w:hAnsi="Times New Roman"/>
                <w:sz w:val="24"/>
                <w:szCs w:val="24"/>
                <w:lang w:val="en-GB"/>
              </w:rPr>
              <w:t>double-counting</w:t>
            </w:r>
            <w:proofErr w:type="gramEnd"/>
            <w:r w:rsidR="00424F3C" w:rsidRPr="00424F3C">
              <w:rPr>
                <w:rFonts w:ascii="Times New Roman" w:hAnsi="Times New Roman"/>
                <w:sz w:val="24"/>
                <w:szCs w:val="24"/>
                <w:lang w:val="en-GB"/>
              </w:rPr>
              <w:t xml:space="preserve"> </w:t>
            </w:r>
            <w:proofErr w:type="gramStart"/>
            <w:r w:rsidR="00424F3C" w:rsidRPr="00424F3C">
              <w:rPr>
                <w:rFonts w:ascii="Times New Roman" w:hAnsi="Times New Roman"/>
                <w:sz w:val="24"/>
                <w:szCs w:val="24"/>
                <w:lang w:val="en-GB"/>
              </w:rPr>
              <w:t>has to</w:t>
            </w:r>
            <w:proofErr w:type="gramEnd"/>
            <w:r w:rsidR="00424F3C" w:rsidRPr="00424F3C">
              <w:rPr>
                <w:rFonts w:ascii="Times New Roman" w:hAnsi="Times New Roman"/>
                <w:sz w:val="24"/>
                <w:szCs w:val="24"/>
                <w:lang w:val="en-GB"/>
              </w:rPr>
              <w:t xml:space="preserve"> be avoided, and the location of the AISP which has accessed the account the most should be reflected</w:t>
            </w:r>
            <w:r w:rsidR="00424F3C">
              <w:rPr>
                <w:rFonts w:ascii="Times New Roman" w:hAnsi="Times New Roman"/>
                <w:sz w:val="24"/>
                <w:szCs w:val="24"/>
                <w:lang w:val="en-GB"/>
              </w:rPr>
              <w:t xml:space="preserve"> in this geographical breakdown.</w:t>
            </w:r>
            <w:r w:rsidR="0022031F">
              <w:rPr>
                <w:rFonts w:ascii="Times New Roman" w:hAnsi="Times New Roman"/>
                <w:sz w:val="24"/>
                <w:szCs w:val="24"/>
                <w:lang w:val="en-GB"/>
              </w:rPr>
              <w:t xml:space="preserve"> I</w:t>
            </w:r>
            <w:r w:rsidR="0022031F" w:rsidRPr="0022031F">
              <w:rPr>
                <w:rFonts w:ascii="Times New Roman" w:hAnsi="Times New Roman"/>
                <w:sz w:val="24"/>
                <w:szCs w:val="24"/>
                <w:lang w:val="en-GB"/>
              </w:rPr>
              <w:t>n case two (or more) AISPs have accessed a certain account equal number of times during the reference period, the reporting entity should report the country of the AISP which last accessed the account.</w:t>
            </w:r>
          </w:p>
        </w:tc>
      </w:tr>
    </w:tbl>
    <w:p w14:paraId="67814617" w14:textId="77777777" w:rsidR="00CD610E" w:rsidRPr="00CD610E" w:rsidRDefault="00CD610E" w:rsidP="00CD610E">
      <w:pPr>
        <w:jc w:val="both"/>
        <w:rPr>
          <w:rFonts w:cs="Arial"/>
          <w:sz w:val="18"/>
          <w:szCs w:val="18"/>
          <w:lang w:val="en-GB"/>
        </w:rPr>
      </w:pPr>
    </w:p>
    <w:p w14:paraId="656ADB16" w14:textId="7B2EE2F6" w:rsidR="00C4448A" w:rsidRPr="004E34FF" w:rsidRDefault="00C4448A" w:rsidP="003802D1">
      <w:pPr>
        <w:rPr>
          <w:color w:val="003199"/>
          <w:lang w:val="en-GB"/>
        </w:rPr>
      </w:pPr>
    </w:p>
    <w:p w14:paraId="4F63C910" w14:textId="5CB180E3" w:rsidR="00591697" w:rsidRPr="004E34FF" w:rsidRDefault="00591697" w:rsidP="006625A4">
      <w:pPr>
        <w:pStyle w:val="Heading4"/>
        <w:numPr>
          <w:ilvl w:val="0"/>
          <w:numId w:val="34"/>
        </w:numPr>
        <w:rPr>
          <w:rFonts w:ascii="Times New Roman" w:hAnsi="Times New Roman" w:cs="Times New Roman"/>
          <w:color w:val="003199"/>
          <w:lang w:val="en-GB"/>
        </w:rPr>
      </w:pPr>
      <w:bookmarkStart w:id="21" w:name="_Table_2:_Card"/>
      <w:bookmarkEnd w:id="21"/>
      <w:r w:rsidRPr="004E34FF">
        <w:rPr>
          <w:rFonts w:ascii="Times New Roman" w:hAnsi="Times New Roman" w:cs="Times New Roman"/>
          <w:color w:val="003199"/>
          <w:lang w:val="en-GB"/>
        </w:rPr>
        <w:t>Table 2: Card functions</w:t>
      </w:r>
      <w:r w:rsidR="000F1F24">
        <w:rPr>
          <w:rFonts w:ascii="Times New Roman" w:hAnsi="Times New Roman" w:cs="Times New Roman"/>
          <w:color w:val="003199"/>
          <w:lang w:val="en-GB"/>
        </w:rPr>
        <w:t xml:space="preserve"> </w:t>
      </w:r>
      <w:r w:rsidR="000F1F24" w:rsidRPr="00284306">
        <w:rPr>
          <w:rFonts w:ascii="Times New Roman" w:hAnsi="Times New Roman" w:cs="Times New Roman"/>
          <w:i w:val="0"/>
          <w:color w:val="ED7D31" w:themeColor="accent2"/>
          <w:lang w:val="en-GB"/>
        </w:rPr>
        <w:t>(refers to worksheet 2)</w:t>
      </w:r>
    </w:p>
    <w:p w14:paraId="42253E22" w14:textId="77777777" w:rsidR="00591697" w:rsidRPr="00760F3B"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The total number of cards</w:t>
      </w:r>
      <w:r w:rsidRPr="00760F3B">
        <w:rPr>
          <w:rStyle w:val="FootnoteReference"/>
          <w:rFonts w:ascii="Times New Roman" w:hAnsi="Times New Roman"/>
          <w:sz w:val="24"/>
          <w:szCs w:val="24"/>
          <w:lang w:val="en-GB"/>
        </w:rPr>
        <w:footnoteReference w:id="18"/>
      </w:r>
      <w:r w:rsidRPr="00760F3B">
        <w:rPr>
          <w:rFonts w:ascii="Times New Roman" w:hAnsi="Times New Roman"/>
          <w:sz w:val="24"/>
          <w:szCs w:val="24"/>
          <w:lang w:val="en-GB"/>
        </w:rPr>
        <w:t xml:space="preserve"> in circulation that the cardholder can use in payment transactions should be </w:t>
      </w:r>
      <w:r w:rsidR="008F7A10">
        <w:rPr>
          <w:rFonts w:ascii="Times New Roman" w:hAnsi="Times New Roman"/>
          <w:sz w:val="24"/>
          <w:szCs w:val="24"/>
          <w:lang w:val="en-GB"/>
        </w:rPr>
        <w:t>reported</w:t>
      </w:r>
      <w:r w:rsidRPr="00760F3B">
        <w:rPr>
          <w:rFonts w:ascii="Times New Roman" w:hAnsi="Times New Roman"/>
          <w:sz w:val="24"/>
          <w:szCs w:val="24"/>
          <w:lang w:val="en-GB"/>
        </w:rPr>
        <w:t xml:space="preserve">, irrespective of when they were issued, whether the cardholder has activated </w:t>
      </w:r>
      <w:r w:rsidR="000D5D17">
        <w:rPr>
          <w:rFonts w:ascii="Times New Roman" w:hAnsi="Times New Roman"/>
          <w:sz w:val="24"/>
          <w:szCs w:val="24"/>
          <w:lang w:val="en-GB"/>
        </w:rPr>
        <w:t>them</w:t>
      </w:r>
      <w:r w:rsidRPr="00760F3B">
        <w:rPr>
          <w:rFonts w:ascii="Times New Roman" w:hAnsi="Times New Roman"/>
          <w:sz w:val="24"/>
          <w:szCs w:val="24"/>
          <w:lang w:val="en-GB"/>
        </w:rPr>
        <w:t xml:space="preserve"> or how actively they are used. Expired or withdrawn cards are not included. </w:t>
      </w:r>
    </w:p>
    <w:p w14:paraId="29CD7798" w14:textId="33A8CB10" w:rsidR="00591697" w:rsidRPr="00760F3B" w:rsidRDefault="00B31F82" w:rsidP="00760F3B">
      <w:pPr>
        <w:spacing w:before="60" w:after="12" w:line="360" w:lineRule="auto"/>
        <w:jc w:val="both"/>
        <w:rPr>
          <w:rFonts w:ascii="Times New Roman" w:hAnsi="Times New Roman"/>
          <w:sz w:val="24"/>
          <w:szCs w:val="24"/>
          <w:lang w:val="en-GB"/>
        </w:rPr>
      </w:pPr>
      <w:r w:rsidRPr="00B31F82">
        <w:rPr>
          <w:rFonts w:ascii="Times New Roman" w:hAnsi="Times New Roman"/>
          <w:sz w:val="24"/>
          <w:szCs w:val="24"/>
          <w:lang w:val="en-GB"/>
        </w:rPr>
        <w:t>Cards issued by merchants, i.e. retailer cards, are not included, unless they have been issued in cooperation with a PSP, i.e. they are co-branded.</w:t>
      </w:r>
      <w:r>
        <w:rPr>
          <w:rFonts w:ascii="Times New Roman" w:hAnsi="Times New Roman"/>
          <w:sz w:val="24"/>
          <w:szCs w:val="24"/>
          <w:lang w:val="en-GB"/>
        </w:rPr>
        <w:t xml:space="preserve"> </w:t>
      </w:r>
    </w:p>
    <w:p w14:paraId="4A71C282" w14:textId="77777777" w:rsidR="00591697" w:rsidRDefault="00591697" w:rsidP="00760F3B">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lastRenderedPageBreak/>
        <w:t>Prepaid cards are only considered to be e-money cards if there is a claim on the issuer of the e-money</w:t>
      </w:r>
      <w:r w:rsidR="000D5D17">
        <w:rPr>
          <w:rStyle w:val="FootnoteReference"/>
          <w:rFonts w:ascii="Times New Roman" w:hAnsi="Times New Roman"/>
          <w:sz w:val="24"/>
          <w:szCs w:val="24"/>
          <w:lang w:val="en-GB"/>
        </w:rPr>
        <w:footnoteReference w:id="19"/>
      </w:r>
      <w:r w:rsidRPr="00760F3B">
        <w:rPr>
          <w:rFonts w:ascii="Times New Roman" w:hAnsi="Times New Roman"/>
          <w:sz w:val="24"/>
          <w:szCs w:val="24"/>
          <w:lang w:val="en-GB"/>
        </w:rPr>
        <w:t xml:space="preserve"> (i.e. the funds that can be accessed and transferred using the card)</w:t>
      </w:r>
      <w:r w:rsidR="000D5D17">
        <w:rPr>
          <w:rFonts w:ascii="Times New Roman" w:hAnsi="Times New Roman"/>
          <w:sz w:val="24"/>
          <w:szCs w:val="24"/>
          <w:lang w:val="en-GB"/>
        </w:rPr>
        <w:t>.</w:t>
      </w:r>
    </w:p>
    <w:p w14:paraId="093FC93A" w14:textId="3058C0F7" w:rsidR="000300BA" w:rsidRPr="00760F3B" w:rsidRDefault="000300BA" w:rsidP="00760F3B">
      <w:pPr>
        <w:spacing w:before="60" w:after="12" w:line="360" w:lineRule="auto"/>
        <w:jc w:val="both"/>
        <w:rPr>
          <w:rFonts w:ascii="Times New Roman" w:hAnsi="Times New Roman"/>
          <w:sz w:val="24"/>
          <w:szCs w:val="24"/>
          <w:lang w:val="en-GB"/>
        </w:rPr>
      </w:pPr>
    </w:p>
    <w:tbl>
      <w:tblPr>
        <w:tblStyle w:val="TableGrid"/>
        <w:tblW w:w="9634" w:type="dxa"/>
        <w:tblLook w:val="04A0" w:firstRow="1" w:lastRow="0" w:firstColumn="1" w:lastColumn="0" w:noHBand="0" w:noVBand="1"/>
      </w:tblPr>
      <w:tblGrid>
        <w:gridCol w:w="2405"/>
        <w:gridCol w:w="7229"/>
      </w:tblGrid>
      <w:tr w:rsidR="00591697" w:rsidRPr="00F53249" w14:paraId="372E0ACE" w14:textId="77777777" w:rsidTr="00F40693">
        <w:tc>
          <w:tcPr>
            <w:tcW w:w="2405" w:type="dxa"/>
          </w:tcPr>
          <w:p w14:paraId="6F175AEF" w14:textId="77777777" w:rsidR="00591697" w:rsidRDefault="00591697" w:rsidP="003D1E63">
            <w:pPr>
              <w:spacing w:line="360" w:lineRule="auto"/>
              <w:rPr>
                <w:rFonts w:ascii="Times New Roman" w:hAnsi="Times New Roman"/>
                <w:b/>
                <w:sz w:val="24"/>
                <w:szCs w:val="24"/>
                <w:lang w:val="en-GB"/>
              </w:rPr>
            </w:pPr>
            <w:r w:rsidRPr="00760F3B">
              <w:rPr>
                <w:rFonts w:ascii="Times New Roman" w:hAnsi="Times New Roman"/>
                <w:b/>
                <w:sz w:val="24"/>
                <w:szCs w:val="24"/>
                <w:lang w:val="en-GB"/>
              </w:rPr>
              <w:t>Cards with a cash function</w:t>
            </w:r>
          </w:p>
          <w:p w14:paraId="6E086ABF" w14:textId="77777777" w:rsidR="008446B2" w:rsidRPr="00760F3B" w:rsidRDefault="008446B2" w:rsidP="003D1E63">
            <w:pPr>
              <w:rPr>
                <w:rFonts w:ascii="Times New Roman" w:hAnsi="Times New Roman"/>
                <w:b/>
                <w:sz w:val="24"/>
                <w:szCs w:val="24"/>
                <w:lang w:val="en-GB"/>
              </w:rPr>
            </w:pPr>
          </w:p>
        </w:tc>
        <w:tc>
          <w:tcPr>
            <w:tcW w:w="7229" w:type="dxa"/>
          </w:tcPr>
          <w:p w14:paraId="53F41F31" w14:textId="77777777" w:rsidR="00591697" w:rsidRPr="00760F3B" w:rsidRDefault="00591697" w:rsidP="00760F3B">
            <w:pPr>
              <w:spacing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Include the number of cards issued by a resident PSP which can be used to withdraw and/or deposit cash to an ATM. </w:t>
            </w:r>
          </w:p>
          <w:p w14:paraId="2754DACE" w14:textId="7E89D53B" w:rsidR="005905B6" w:rsidRDefault="005905B6" w:rsidP="00462EFD">
            <w:pPr>
              <w:spacing w:line="360" w:lineRule="auto"/>
              <w:jc w:val="both"/>
              <w:rPr>
                <w:rFonts w:ascii="Times New Roman" w:hAnsi="Times New Roman"/>
                <w:sz w:val="24"/>
                <w:szCs w:val="24"/>
                <w:lang w:val="en-GB"/>
              </w:rPr>
            </w:pPr>
            <w:r>
              <w:rPr>
                <w:rFonts w:ascii="Times New Roman" w:hAnsi="Times New Roman"/>
                <w:sz w:val="24"/>
                <w:szCs w:val="24"/>
                <w:lang w:val="en-GB"/>
              </w:rPr>
              <w:t>C</w:t>
            </w:r>
            <w:r w:rsidRPr="005905B6">
              <w:rPr>
                <w:rFonts w:ascii="Times New Roman" w:hAnsi="Times New Roman"/>
                <w:sz w:val="24"/>
                <w:szCs w:val="24"/>
                <w:lang w:val="en-GB"/>
              </w:rPr>
              <w:t>ards with an e-money function which gives access to e-money stored on e-money accounts offer both a cash withdrawal function and payments via POS</w:t>
            </w:r>
            <w:r>
              <w:rPr>
                <w:rFonts w:ascii="Times New Roman" w:hAnsi="Times New Roman"/>
                <w:sz w:val="24"/>
                <w:szCs w:val="24"/>
                <w:lang w:val="en-GB"/>
              </w:rPr>
              <w:t xml:space="preserve"> and are also included in this section.</w:t>
            </w:r>
          </w:p>
          <w:p w14:paraId="575D73BD" w14:textId="7CB78421" w:rsidR="00591697" w:rsidRPr="00760F3B" w:rsidRDefault="00591697" w:rsidP="00462EFD">
            <w:pPr>
              <w:spacing w:line="360" w:lineRule="auto"/>
              <w:jc w:val="both"/>
              <w:rPr>
                <w:rFonts w:ascii="Times New Roman" w:hAnsi="Times New Roman"/>
                <w:sz w:val="24"/>
                <w:szCs w:val="24"/>
                <w:lang w:val="en-GB"/>
              </w:rPr>
            </w:pPr>
            <w:r w:rsidRPr="00760F3B">
              <w:rPr>
                <w:rFonts w:ascii="Times New Roman" w:hAnsi="Times New Roman"/>
                <w:sz w:val="24"/>
                <w:szCs w:val="24"/>
                <w:lang w:val="en-GB"/>
              </w:rPr>
              <w:t>Cards with an e-mone</w:t>
            </w:r>
            <w:r w:rsidR="002205D9">
              <w:rPr>
                <w:rFonts w:ascii="Times New Roman" w:hAnsi="Times New Roman"/>
                <w:sz w:val="24"/>
                <w:szCs w:val="24"/>
                <w:lang w:val="en-GB"/>
              </w:rPr>
              <w:t>y function (e.g. prepaid cards),</w:t>
            </w:r>
            <w:r w:rsidR="00462EFD">
              <w:rPr>
                <w:rFonts w:ascii="Times New Roman" w:hAnsi="Times New Roman"/>
                <w:sz w:val="24"/>
                <w:szCs w:val="24"/>
                <w:lang w:val="en-GB"/>
              </w:rPr>
              <w:t xml:space="preserve"> or</w:t>
            </w:r>
            <w:r w:rsidR="002205D9">
              <w:rPr>
                <w:rFonts w:ascii="Times New Roman" w:hAnsi="Times New Roman"/>
                <w:sz w:val="24"/>
                <w:szCs w:val="24"/>
                <w:lang w:val="en-GB"/>
              </w:rPr>
              <w:t xml:space="preserve"> c</w:t>
            </w:r>
            <w:r w:rsidRPr="00760F3B">
              <w:rPr>
                <w:rFonts w:ascii="Times New Roman" w:hAnsi="Times New Roman"/>
                <w:sz w:val="24"/>
                <w:szCs w:val="24"/>
                <w:lang w:val="en-GB"/>
              </w:rPr>
              <w:t>ards which only allow initiating paym</w:t>
            </w:r>
            <w:r w:rsidR="00462EFD">
              <w:rPr>
                <w:rFonts w:ascii="Times New Roman" w:hAnsi="Times New Roman"/>
                <w:sz w:val="24"/>
                <w:szCs w:val="24"/>
                <w:lang w:val="en-GB"/>
              </w:rPr>
              <w:t>ent transactions, or</w:t>
            </w:r>
            <w:r w:rsidR="002205D9">
              <w:rPr>
                <w:rFonts w:ascii="Times New Roman" w:hAnsi="Times New Roman"/>
                <w:sz w:val="24"/>
                <w:szCs w:val="24"/>
                <w:lang w:val="en-GB"/>
              </w:rPr>
              <w:t xml:space="preserve"> c</w:t>
            </w:r>
            <w:r w:rsidRPr="00760F3B">
              <w:rPr>
                <w:rFonts w:ascii="Times New Roman" w:hAnsi="Times New Roman"/>
                <w:sz w:val="24"/>
                <w:szCs w:val="24"/>
                <w:lang w:val="en-GB"/>
              </w:rPr>
              <w:t xml:space="preserve">ards </w:t>
            </w:r>
            <w:r w:rsidR="00462EFD">
              <w:rPr>
                <w:rFonts w:ascii="Times New Roman" w:hAnsi="Times New Roman"/>
                <w:sz w:val="24"/>
                <w:szCs w:val="24"/>
                <w:lang w:val="en-GB"/>
              </w:rPr>
              <w:t xml:space="preserve">which are only used to withdraw and/or </w:t>
            </w:r>
            <w:r w:rsidRPr="00760F3B">
              <w:rPr>
                <w:rFonts w:ascii="Times New Roman" w:hAnsi="Times New Roman"/>
                <w:sz w:val="24"/>
                <w:szCs w:val="24"/>
                <w:lang w:val="en-GB"/>
              </w:rPr>
              <w:t xml:space="preserve">deposit cash at ATMs and which are not on the name of the payer are </w:t>
            </w:r>
            <w:r w:rsidR="002205D9">
              <w:rPr>
                <w:rFonts w:ascii="Times New Roman" w:hAnsi="Times New Roman"/>
                <w:sz w:val="24"/>
                <w:szCs w:val="24"/>
                <w:lang w:val="en-GB"/>
              </w:rPr>
              <w:t>excluded</w:t>
            </w:r>
            <w:r w:rsidRPr="00760F3B">
              <w:rPr>
                <w:rFonts w:ascii="Times New Roman" w:hAnsi="Times New Roman"/>
                <w:sz w:val="24"/>
                <w:szCs w:val="24"/>
                <w:lang w:val="en-GB"/>
              </w:rPr>
              <w:t xml:space="preserve">. </w:t>
            </w:r>
          </w:p>
        </w:tc>
      </w:tr>
      <w:tr w:rsidR="00591697" w:rsidRPr="00F53249" w14:paraId="67363DF4" w14:textId="77777777" w:rsidTr="00F40693">
        <w:tc>
          <w:tcPr>
            <w:tcW w:w="2405" w:type="dxa"/>
          </w:tcPr>
          <w:p w14:paraId="7C613EF3" w14:textId="77777777" w:rsidR="00591697" w:rsidRPr="00760F3B" w:rsidRDefault="00591697" w:rsidP="003D1E63">
            <w:pPr>
              <w:spacing w:line="360" w:lineRule="auto"/>
              <w:rPr>
                <w:rFonts w:ascii="Times New Roman" w:hAnsi="Times New Roman"/>
                <w:b/>
                <w:sz w:val="24"/>
                <w:szCs w:val="24"/>
                <w:lang w:val="en-GB"/>
              </w:rPr>
            </w:pPr>
            <w:r w:rsidRPr="00760F3B">
              <w:rPr>
                <w:rFonts w:ascii="Times New Roman" w:hAnsi="Times New Roman"/>
                <w:b/>
                <w:sz w:val="24"/>
                <w:szCs w:val="24"/>
                <w:lang w:val="en-GB"/>
              </w:rPr>
              <w:t>Cards with a payment function (except cards with an e-money function only)</w:t>
            </w:r>
          </w:p>
        </w:tc>
        <w:tc>
          <w:tcPr>
            <w:tcW w:w="7229" w:type="dxa"/>
          </w:tcPr>
          <w:p w14:paraId="39B8E05F" w14:textId="77777777" w:rsidR="00591697" w:rsidRPr="00760F3B" w:rsidRDefault="00591697" w:rsidP="00753555">
            <w:pPr>
              <w:spacing w:line="360" w:lineRule="auto"/>
              <w:jc w:val="both"/>
              <w:rPr>
                <w:rFonts w:ascii="Times New Roman" w:hAnsi="Times New Roman"/>
                <w:sz w:val="24"/>
                <w:szCs w:val="24"/>
                <w:lang w:val="en-GB"/>
              </w:rPr>
            </w:pPr>
            <w:r w:rsidRPr="00760F3B">
              <w:rPr>
                <w:rFonts w:ascii="Times New Roman" w:hAnsi="Times New Roman"/>
                <w:sz w:val="24"/>
                <w:szCs w:val="24"/>
                <w:lang w:val="en-GB"/>
              </w:rPr>
              <w:t>Include the number of cards issued by a resident PSP which have at least one of the following functions: debit</w:t>
            </w:r>
            <w:bookmarkStart w:id="22" w:name="_Ref75439911"/>
            <w:r w:rsidR="00B0659B" w:rsidRPr="00760F3B">
              <w:rPr>
                <w:rStyle w:val="FootnoteReference"/>
                <w:rFonts w:ascii="Times New Roman" w:hAnsi="Times New Roman"/>
                <w:sz w:val="24"/>
                <w:szCs w:val="24"/>
                <w:lang w:val="en-GB"/>
              </w:rPr>
              <w:footnoteReference w:id="20"/>
            </w:r>
            <w:bookmarkEnd w:id="22"/>
            <w:r w:rsidRPr="00760F3B">
              <w:rPr>
                <w:rFonts w:ascii="Times New Roman" w:hAnsi="Times New Roman"/>
                <w:sz w:val="24"/>
                <w:szCs w:val="24"/>
                <w:lang w:val="en-GB"/>
              </w:rPr>
              <w:t xml:space="preserve">, </w:t>
            </w:r>
            <w:proofErr w:type="gramStart"/>
            <w:r w:rsidRPr="00760F3B">
              <w:rPr>
                <w:rFonts w:ascii="Times New Roman" w:hAnsi="Times New Roman"/>
                <w:sz w:val="24"/>
                <w:szCs w:val="24"/>
                <w:lang w:val="en-GB"/>
              </w:rPr>
              <w:t>delayed-debit</w:t>
            </w:r>
            <w:bookmarkStart w:id="23" w:name="_Ref75439932"/>
            <w:proofErr w:type="gramEnd"/>
            <w:r w:rsidR="00B0659B" w:rsidRPr="00760F3B">
              <w:rPr>
                <w:rStyle w:val="FootnoteReference"/>
                <w:rFonts w:ascii="Times New Roman" w:hAnsi="Times New Roman"/>
                <w:sz w:val="24"/>
                <w:szCs w:val="24"/>
                <w:lang w:val="en-GB"/>
              </w:rPr>
              <w:footnoteReference w:id="21"/>
            </w:r>
            <w:bookmarkEnd w:id="23"/>
            <w:r w:rsidRPr="00760F3B">
              <w:rPr>
                <w:rFonts w:ascii="Times New Roman" w:hAnsi="Times New Roman"/>
                <w:sz w:val="24"/>
                <w:szCs w:val="24"/>
                <w:lang w:val="en-GB"/>
              </w:rPr>
              <w:t>, credit</w:t>
            </w:r>
            <w:bookmarkStart w:id="24" w:name="_Ref75439942"/>
            <w:r w:rsidR="00B0659B" w:rsidRPr="00760F3B">
              <w:rPr>
                <w:rStyle w:val="FootnoteReference"/>
                <w:rFonts w:ascii="Times New Roman" w:hAnsi="Times New Roman"/>
                <w:sz w:val="24"/>
                <w:szCs w:val="24"/>
                <w:lang w:val="en-GB"/>
              </w:rPr>
              <w:footnoteReference w:id="22"/>
            </w:r>
            <w:bookmarkEnd w:id="24"/>
            <w:r w:rsidRPr="00760F3B">
              <w:rPr>
                <w:rFonts w:ascii="Times New Roman" w:hAnsi="Times New Roman"/>
                <w:sz w:val="24"/>
                <w:szCs w:val="24"/>
                <w:lang w:val="en-GB"/>
              </w:rPr>
              <w:t xml:space="preserve"> function. If a ‘card with a payment function (except cards with an e-money function only)’ offers several functions (multifunctional cards), it is counted in</w:t>
            </w:r>
            <w:r w:rsidR="001813D7">
              <w:rPr>
                <w:rFonts w:ascii="Times New Roman" w:hAnsi="Times New Roman"/>
                <w:sz w:val="24"/>
                <w:szCs w:val="24"/>
                <w:lang w:val="en-GB"/>
              </w:rPr>
              <w:t xml:space="preserve"> </w:t>
            </w:r>
            <w:r w:rsidRPr="00760F3B">
              <w:rPr>
                <w:rFonts w:ascii="Times New Roman" w:hAnsi="Times New Roman"/>
                <w:sz w:val="24"/>
                <w:szCs w:val="24"/>
                <w:lang w:val="en-GB"/>
              </w:rPr>
              <w:t>each applicable sub-category. Therefore, the total number of cards with a payment function may be smaller than the sum of the sub-categories.</w:t>
            </w:r>
          </w:p>
          <w:p w14:paraId="04846C2A" w14:textId="77E77067" w:rsidR="00591697" w:rsidRPr="00B0659B" w:rsidRDefault="00591697" w:rsidP="00200B39">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Cards with only an e-money function (e.g. prepaid cards) are excluded.  </w:t>
            </w:r>
            <w:r w:rsidR="00E607C1">
              <w:rPr>
                <w:rFonts w:ascii="Times New Roman" w:hAnsi="Times New Roman"/>
                <w:sz w:val="24"/>
                <w:szCs w:val="24"/>
                <w:lang w:val="en-GB"/>
              </w:rPr>
              <w:t>The number of ca</w:t>
            </w:r>
            <w:r w:rsidR="00C74304">
              <w:rPr>
                <w:rFonts w:ascii="Times New Roman" w:hAnsi="Times New Roman"/>
                <w:sz w:val="24"/>
                <w:szCs w:val="24"/>
                <w:lang w:val="en-GB"/>
              </w:rPr>
              <w:t xml:space="preserve">rds with a payment function are </w:t>
            </w:r>
            <w:r w:rsidR="00E607C1">
              <w:rPr>
                <w:rFonts w:ascii="Times New Roman" w:hAnsi="Times New Roman"/>
                <w:sz w:val="24"/>
                <w:szCs w:val="24"/>
                <w:lang w:val="en-GB"/>
              </w:rPr>
              <w:t>broken down</w:t>
            </w:r>
            <w:r w:rsidR="00C74304">
              <w:rPr>
                <w:rFonts w:ascii="Times New Roman" w:hAnsi="Times New Roman"/>
                <w:sz w:val="24"/>
                <w:szCs w:val="24"/>
                <w:lang w:val="en-GB"/>
              </w:rPr>
              <w:t xml:space="preserve"> further</w:t>
            </w:r>
            <w:r w:rsidR="00E607C1">
              <w:rPr>
                <w:rFonts w:ascii="Times New Roman" w:hAnsi="Times New Roman"/>
                <w:sz w:val="24"/>
                <w:szCs w:val="24"/>
                <w:lang w:val="en-GB"/>
              </w:rPr>
              <w:t xml:space="preserve"> </w:t>
            </w:r>
            <w:r w:rsidR="00C74304">
              <w:rPr>
                <w:rFonts w:ascii="Times New Roman" w:hAnsi="Times New Roman"/>
                <w:sz w:val="24"/>
                <w:szCs w:val="24"/>
                <w:lang w:val="en-GB"/>
              </w:rPr>
              <w:t>by</w:t>
            </w:r>
            <w:r w:rsidR="00E607C1" w:rsidRPr="00760F3B">
              <w:rPr>
                <w:rFonts w:ascii="Times New Roman" w:hAnsi="Times New Roman"/>
                <w:sz w:val="24"/>
                <w:szCs w:val="24"/>
                <w:lang w:val="en-GB"/>
              </w:rPr>
              <w:t xml:space="preserve"> </w:t>
            </w:r>
            <w:r w:rsidR="004050C5">
              <w:rPr>
                <w:rFonts w:ascii="Times New Roman" w:hAnsi="Times New Roman"/>
                <w:sz w:val="24"/>
                <w:szCs w:val="24"/>
                <w:lang w:val="en-GB"/>
              </w:rPr>
              <w:t xml:space="preserve">payment </w:t>
            </w:r>
            <w:r w:rsidR="00E607C1" w:rsidRPr="00760F3B">
              <w:rPr>
                <w:rFonts w:ascii="Times New Roman" w:hAnsi="Times New Roman"/>
                <w:sz w:val="24"/>
                <w:szCs w:val="24"/>
                <w:lang w:val="en-GB"/>
              </w:rPr>
              <w:t>card-scheme</w:t>
            </w:r>
            <w:bookmarkStart w:id="25" w:name="_Ref72059832"/>
            <w:r w:rsidR="004050C5">
              <w:rPr>
                <w:rFonts w:ascii="Times New Roman" w:hAnsi="Times New Roman"/>
                <w:sz w:val="24"/>
                <w:szCs w:val="24"/>
                <w:lang w:val="en-GB"/>
              </w:rPr>
              <w:t xml:space="preserve"> (PCS)</w:t>
            </w:r>
            <w:bookmarkStart w:id="26" w:name="_Ref75439449"/>
            <w:r w:rsidR="00E607C1" w:rsidRPr="001E7E21">
              <w:rPr>
                <w:rStyle w:val="FootnoteReference"/>
                <w:rFonts w:ascii="Times New Roman" w:hAnsi="Times New Roman"/>
                <w:sz w:val="24"/>
                <w:szCs w:val="24"/>
                <w:lang w:val="en-GB"/>
              </w:rPr>
              <w:footnoteReference w:id="23"/>
            </w:r>
            <w:bookmarkEnd w:id="25"/>
            <w:bookmarkEnd w:id="26"/>
            <w:r w:rsidR="00E607C1" w:rsidRPr="001E7E21">
              <w:rPr>
                <w:rFonts w:ascii="Times New Roman" w:hAnsi="Times New Roman"/>
                <w:sz w:val="24"/>
                <w:szCs w:val="24"/>
                <w:lang w:val="en-GB"/>
              </w:rPr>
              <w:t xml:space="preserve"> </w:t>
            </w:r>
            <w:r w:rsidR="00E607C1" w:rsidRPr="00760F3B">
              <w:rPr>
                <w:rFonts w:ascii="Times New Roman" w:hAnsi="Times New Roman"/>
                <w:sz w:val="24"/>
                <w:szCs w:val="24"/>
                <w:lang w:val="en-GB"/>
              </w:rPr>
              <w:t>and card function.</w:t>
            </w:r>
            <w:r w:rsidR="00E75142">
              <w:rPr>
                <w:rFonts w:ascii="Times New Roman" w:hAnsi="Times New Roman"/>
                <w:sz w:val="24"/>
                <w:szCs w:val="24"/>
                <w:lang w:val="en-GB"/>
              </w:rPr>
              <w:t xml:space="preserve"> </w:t>
            </w:r>
            <w:r w:rsidR="00374E0D">
              <w:rPr>
                <w:rFonts w:ascii="Times New Roman" w:hAnsi="Times New Roman"/>
                <w:sz w:val="24"/>
                <w:szCs w:val="24"/>
                <w:lang w:val="en-GB"/>
              </w:rPr>
              <w:t xml:space="preserve">Each resident PSP </w:t>
            </w:r>
            <w:r w:rsidR="000F722D">
              <w:rPr>
                <w:rFonts w:ascii="Times New Roman" w:hAnsi="Times New Roman"/>
                <w:sz w:val="24"/>
                <w:szCs w:val="24"/>
                <w:lang w:val="en-GB"/>
              </w:rPr>
              <w:t xml:space="preserve">should </w:t>
            </w:r>
            <w:r w:rsidR="00716213">
              <w:rPr>
                <w:rFonts w:ascii="Times New Roman" w:hAnsi="Times New Roman"/>
                <w:sz w:val="24"/>
                <w:szCs w:val="24"/>
                <w:lang w:val="en-GB"/>
              </w:rPr>
              <w:t>complete</w:t>
            </w:r>
            <w:r w:rsidR="00374E0D">
              <w:rPr>
                <w:rFonts w:ascii="Times New Roman" w:hAnsi="Times New Roman"/>
                <w:sz w:val="24"/>
                <w:szCs w:val="24"/>
                <w:lang w:val="en-GB"/>
              </w:rPr>
              <w:t xml:space="preserve"> the</w:t>
            </w:r>
            <w:r w:rsidR="005C57DF">
              <w:rPr>
                <w:rFonts w:ascii="Times New Roman" w:hAnsi="Times New Roman"/>
                <w:sz w:val="24"/>
                <w:szCs w:val="24"/>
                <w:lang w:val="en-GB"/>
              </w:rPr>
              <w:t xml:space="preserve"> applicable</w:t>
            </w:r>
            <w:r w:rsidR="00374E0D">
              <w:rPr>
                <w:rFonts w:ascii="Times New Roman" w:hAnsi="Times New Roman"/>
                <w:sz w:val="24"/>
                <w:szCs w:val="24"/>
                <w:lang w:val="en-GB"/>
              </w:rPr>
              <w:t xml:space="preserve"> PCS </w:t>
            </w:r>
            <w:r w:rsidR="00067AD3">
              <w:rPr>
                <w:rFonts w:ascii="Times New Roman" w:hAnsi="Times New Roman"/>
                <w:sz w:val="24"/>
                <w:szCs w:val="24"/>
                <w:lang w:val="en-GB"/>
              </w:rPr>
              <w:t>and</w:t>
            </w:r>
            <w:r w:rsidR="000F722D">
              <w:rPr>
                <w:rFonts w:ascii="Times New Roman" w:hAnsi="Times New Roman"/>
                <w:sz w:val="24"/>
                <w:szCs w:val="24"/>
                <w:lang w:val="en-GB"/>
              </w:rPr>
              <w:t xml:space="preserve"> include information per card function</w:t>
            </w:r>
            <w:r w:rsidR="00374E0D">
              <w:rPr>
                <w:rFonts w:ascii="Times New Roman" w:hAnsi="Times New Roman"/>
                <w:sz w:val="24"/>
                <w:szCs w:val="24"/>
                <w:lang w:val="en-GB"/>
              </w:rPr>
              <w:t>.</w:t>
            </w:r>
            <w:r w:rsidRPr="00760F3B">
              <w:rPr>
                <w:rFonts w:ascii="Times New Roman" w:hAnsi="Times New Roman"/>
                <w:sz w:val="24"/>
                <w:szCs w:val="24"/>
                <w:lang w:val="en-GB"/>
              </w:rPr>
              <w:t xml:space="preserve"> </w:t>
            </w:r>
            <w:r w:rsidR="00B0659B" w:rsidRPr="00B0659B">
              <w:rPr>
                <w:rFonts w:ascii="Times New Roman" w:hAnsi="Times New Roman"/>
                <w:sz w:val="24"/>
                <w:szCs w:val="24"/>
                <w:lang w:val="en-GB"/>
              </w:rPr>
              <w:t xml:space="preserve">Co-badged card-based payment instruments are counted in each of the applicable </w:t>
            </w:r>
            <w:r w:rsidR="00B0659B">
              <w:rPr>
                <w:rFonts w:ascii="Times New Roman" w:hAnsi="Times New Roman"/>
                <w:sz w:val="24"/>
                <w:szCs w:val="24"/>
                <w:lang w:val="en-GB"/>
              </w:rPr>
              <w:t>PCS</w:t>
            </w:r>
            <w:r w:rsidR="00B0659B" w:rsidRPr="00B0659B">
              <w:rPr>
                <w:rFonts w:ascii="Times New Roman" w:hAnsi="Times New Roman"/>
                <w:sz w:val="24"/>
                <w:szCs w:val="24"/>
                <w:lang w:val="en-GB"/>
              </w:rPr>
              <w:t>.</w:t>
            </w:r>
            <w:r w:rsidR="001412EA">
              <w:rPr>
                <w:rFonts w:ascii="Times New Roman" w:hAnsi="Times New Roman"/>
                <w:sz w:val="24"/>
                <w:szCs w:val="24"/>
                <w:lang w:val="en-GB"/>
              </w:rPr>
              <w:t xml:space="preserve"> </w:t>
            </w:r>
            <w:r w:rsidR="001412EA" w:rsidRPr="001412EA">
              <w:rPr>
                <w:rFonts w:ascii="Times New Roman" w:hAnsi="Times New Roman"/>
                <w:sz w:val="24"/>
                <w:szCs w:val="24"/>
                <w:lang w:val="en-GB"/>
              </w:rPr>
              <w:t xml:space="preserve">Therefore, the total number of </w:t>
            </w:r>
            <w:r w:rsidR="00200B39">
              <w:rPr>
                <w:rFonts w:ascii="Times New Roman" w:hAnsi="Times New Roman"/>
                <w:sz w:val="24"/>
                <w:szCs w:val="24"/>
                <w:lang w:val="en-GB"/>
              </w:rPr>
              <w:t>‘cards</w:t>
            </w:r>
            <w:r w:rsidR="001412EA" w:rsidRPr="001412EA">
              <w:rPr>
                <w:rFonts w:ascii="Times New Roman" w:hAnsi="Times New Roman"/>
                <w:sz w:val="24"/>
                <w:szCs w:val="24"/>
                <w:lang w:val="en-GB"/>
              </w:rPr>
              <w:t xml:space="preserve"> </w:t>
            </w:r>
            <w:r w:rsidR="00200B39">
              <w:rPr>
                <w:rFonts w:ascii="Times New Roman" w:hAnsi="Times New Roman"/>
                <w:sz w:val="24"/>
                <w:szCs w:val="24"/>
                <w:lang w:val="en-GB"/>
              </w:rPr>
              <w:t>with a</w:t>
            </w:r>
            <w:r w:rsidR="001412EA" w:rsidRPr="001412EA">
              <w:rPr>
                <w:rFonts w:ascii="Times New Roman" w:hAnsi="Times New Roman"/>
                <w:sz w:val="24"/>
                <w:szCs w:val="24"/>
                <w:lang w:val="en-GB"/>
              </w:rPr>
              <w:t xml:space="preserve"> payment function</w:t>
            </w:r>
            <w:r w:rsidR="00200B39">
              <w:rPr>
                <w:rFonts w:ascii="Times New Roman" w:hAnsi="Times New Roman"/>
                <w:sz w:val="24"/>
                <w:szCs w:val="24"/>
                <w:lang w:val="en-GB"/>
              </w:rPr>
              <w:t>’</w:t>
            </w:r>
            <w:r w:rsidR="001412EA" w:rsidRPr="001412EA">
              <w:rPr>
                <w:rFonts w:ascii="Times New Roman" w:hAnsi="Times New Roman"/>
                <w:sz w:val="24"/>
                <w:szCs w:val="24"/>
                <w:lang w:val="en-GB"/>
              </w:rPr>
              <w:t xml:space="preserve"> may be smaller than the sum of cards</w:t>
            </w:r>
            <w:r w:rsidR="00200B39">
              <w:rPr>
                <w:rFonts w:ascii="Times New Roman" w:hAnsi="Times New Roman"/>
                <w:sz w:val="24"/>
                <w:szCs w:val="24"/>
                <w:lang w:val="en-GB"/>
              </w:rPr>
              <w:t xml:space="preserve"> reported</w:t>
            </w:r>
            <w:r w:rsidR="001412EA" w:rsidRPr="001412EA">
              <w:rPr>
                <w:rFonts w:ascii="Times New Roman" w:hAnsi="Times New Roman"/>
                <w:sz w:val="24"/>
                <w:szCs w:val="24"/>
                <w:lang w:val="en-GB"/>
              </w:rPr>
              <w:t xml:space="preserve"> </w:t>
            </w:r>
            <w:r w:rsidR="00200B39">
              <w:rPr>
                <w:rFonts w:ascii="Times New Roman" w:hAnsi="Times New Roman"/>
                <w:sz w:val="24"/>
                <w:szCs w:val="24"/>
                <w:lang w:val="en-GB"/>
              </w:rPr>
              <w:t>per</w:t>
            </w:r>
            <w:r w:rsidR="001412EA" w:rsidRPr="001412EA">
              <w:rPr>
                <w:rFonts w:ascii="Times New Roman" w:hAnsi="Times New Roman"/>
                <w:sz w:val="24"/>
                <w:szCs w:val="24"/>
                <w:lang w:val="en-GB"/>
              </w:rPr>
              <w:t xml:space="preserve"> PCS</w:t>
            </w:r>
            <w:r w:rsidR="00200B39">
              <w:rPr>
                <w:rFonts w:ascii="Times New Roman" w:hAnsi="Times New Roman"/>
                <w:sz w:val="24"/>
                <w:szCs w:val="24"/>
                <w:lang w:val="en-GB"/>
              </w:rPr>
              <w:t>s</w:t>
            </w:r>
            <w:r w:rsidR="001412EA" w:rsidRPr="001412EA">
              <w:rPr>
                <w:rFonts w:ascii="Times New Roman" w:hAnsi="Times New Roman"/>
                <w:sz w:val="24"/>
                <w:szCs w:val="24"/>
                <w:lang w:val="en-GB"/>
              </w:rPr>
              <w:t xml:space="preserve">. </w:t>
            </w:r>
          </w:p>
        </w:tc>
      </w:tr>
      <w:tr w:rsidR="00591697" w:rsidRPr="00F53249" w14:paraId="0EAA81FA" w14:textId="77777777" w:rsidTr="00F40693">
        <w:tc>
          <w:tcPr>
            <w:tcW w:w="2405" w:type="dxa"/>
          </w:tcPr>
          <w:p w14:paraId="26F3AA69" w14:textId="77777777" w:rsidR="00591697" w:rsidRPr="00760F3B" w:rsidRDefault="00591697" w:rsidP="003D1E63">
            <w:pPr>
              <w:spacing w:line="360" w:lineRule="auto"/>
              <w:rPr>
                <w:rFonts w:ascii="Times New Roman" w:hAnsi="Times New Roman"/>
                <w:b/>
                <w:sz w:val="24"/>
                <w:szCs w:val="24"/>
                <w:lang w:val="en-GB"/>
              </w:rPr>
            </w:pPr>
            <w:r w:rsidRPr="00760F3B">
              <w:rPr>
                <w:rFonts w:ascii="Times New Roman" w:hAnsi="Times New Roman"/>
                <w:b/>
                <w:sz w:val="24"/>
                <w:szCs w:val="24"/>
                <w:lang w:val="en-GB"/>
              </w:rPr>
              <w:lastRenderedPageBreak/>
              <w:t>Cards with an e-money function</w:t>
            </w:r>
          </w:p>
        </w:tc>
        <w:tc>
          <w:tcPr>
            <w:tcW w:w="7229" w:type="dxa"/>
          </w:tcPr>
          <w:p w14:paraId="6CDD3FC8" w14:textId="77777777" w:rsidR="00591697" w:rsidRPr="00760F3B" w:rsidRDefault="00591697" w:rsidP="00760F3B">
            <w:pPr>
              <w:spacing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Include the total number of cards issued with an e-money function. </w:t>
            </w:r>
            <w:r w:rsidR="000779A4" w:rsidRPr="00760F3B">
              <w:rPr>
                <w:rFonts w:ascii="Times New Roman" w:hAnsi="Times New Roman"/>
                <w:sz w:val="24"/>
                <w:szCs w:val="24"/>
                <w:lang w:val="en-GB"/>
              </w:rPr>
              <w:t>They do not include (gift) vouchers which are only accepted by a limited number of merchants. Monetary value stored on specific prepaid instruments does not represent electronic money if the instruments are designed to address precise needs and can be used only in a limited way</w:t>
            </w:r>
            <w:r w:rsidR="000779A4" w:rsidRPr="00760F3B">
              <w:rPr>
                <w:rStyle w:val="FootnoteReference"/>
                <w:rFonts w:ascii="Times New Roman" w:hAnsi="Times New Roman"/>
                <w:sz w:val="24"/>
                <w:szCs w:val="24"/>
                <w:lang w:val="en-GB"/>
              </w:rPr>
              <w:footnoteReference w:id="24"/>
            </w:r>
            <w:r w:rsidR="000779A4" w:rsidRPr="00760F3B">
              <w:rPr>
                <w:rFonts w:ascii="Times New Roman" w:hAnsi="Times New Roman"/>
                <w:sz w:val="24"/>
                <w:szCs w:val="24"/>
                <w:lang w:val="en-GB"/>
              </w:rPr>
              <w:t>.</w:t>
            </w:r>
          </w:p>
          <w:p w14:paraId="7EE4B9FD" w14:textId="77777777" w:rsidR="00F23F14" w:rsidRPr="00F23F14" w:rsidRDefault="00591697" w:rsidP="00F23F14">
            <w:pPr>
              <w:spacing w:line="360" w:lineRule="auto"/>
              <w:jc w:val="both"/>
              <w:rPr>
                <w:rFonts w:ascii="Times New Roman" w:hAnsi="Times New Roman"/>
                <w:sz w:val="24"/>
                <w:szCs w:val="24"/>
                <w:lang w:val="en-GB"/>
              </w:rPr>
            </w:pPr>
            <w:r w:rsidRPr="00760F3B">
              <w:rPr>
                <w:rFonts w:ascii="Times New Roman" w:hAnsi="Times New Roman"/>
                <w:sz w:val="24"/>
                <w:szCs w:val="24"/>
                <w:lang w:val="en-GB"/>
              </w:rPr>
              <w:t>A ‘</w:t>
            </w:r>
            <w:r w:rsidR="005947B1">
              <w:rPr>
                <w:rFonts w:ascii="Times New Roman" w:hAnsi="Times New Roman"/>
                <w:sz w:val="24"/>
                <w:szCs w:val="24"/>
                <w:lang w:val="en-GB"/>
              </w:rPr>
              <w:t>C</w:t>
            </w:r>
            <w:r w:rsidRPr="00760F3B">
              <w:rPr>
                <w:rFonts w:ascii="Times New Roman" w:hAnsi="Times New Roman"/>
                <w:sz w:val="24"/>
                <w:szCs w:val="24"/>
                <w:lang w:val="en-GB"/>
              </w:rPr>
              <w:t>ard with an e-mo</w:t>
            </w:r>
            <w:r w:rsidR="005947B1">
              <w:rPr>
                <w:rFonts w:ascii="Times New Roman" w:hAnsi="Times New Roman"/>
                <w:sz w:val="24"/>
                <w:szCs w:val="24"/>
                <w:lang w:val="en-GB"/>
              </w:rPr>
              <w:t>ney function’ can be either a ‘C</w:t>
            </w:r>
            <w:r w:rsidRPr="00760F3B">
              <w:rPr>
                <w:rFonts w:ascii="Times New Roman" w:hAnsi="Times New Roman"/>
                <w:sz w:val="24"/>
                <w:szCs w:val="24"/>
                <w:lang w:val="en-GB"/>
              </w:rPr>
              <w:t>ard on which e-money can be stored directly’</w:t>
            </w:r>
            <w:r w:rsidR="00F23F14">
              <w:rPr>
                <w:rStyle w:val="FootnoteReference"/>
                <w:rFonts w:ascii="Times New Roman" w:hAnsi="Times New Roman"/>
                <w:sz w:val="24"/>
                <w:szCs w:val="24"/>
                <w:lang w:val="en-GB"/>
              </w:rPr>
              <w:footnoteReference w:id="25"/>
            </w:r>
            <w:r w:rsidR="005947B1">
              <w:rPr>
                <w:rFonts w:ascii="Times New Roman" w:hAnsi="Times New Roman"/>
                <w:sz w:val="24"/>
                <w:szCs w:val="24"/>
                <w:lang w:val="en-GB"/>
              </w:rPr>
              <w:t xml:space="preserve"> or a ‘C</w:t>
            </w:r>
            <w:r w:rsidRPr="00760F3B">
              <w:rPr>
                <w:rFonts w:ascii="Times New Roman" w:hAnsi="Times New Roman"/>
                <w:sz w:val="24"/>
                <w:szCs w:val="24"/>
                <w:lang w:val="en-GB"/>
              </w:rPr>
              <w:t>ard which gives access to e-money stored on e-money accounts’</w:t>
            </w:r>
            <w:r w:rsidR="000779A4">
              <w:rPr>
                <w:rStyle w:val="FootnoteReference"/>
                <w:rFonts w:ascii="Times New Roman" w:hAnsi="Times New Roman"/>
                <w:sz w:val="24"/>
                <w:szCs w:val="24"/>
                <w:lang w:val="en-GB"/>
              </w:rPr>
              <w:footnoteReference w:id="26"/>
            </w:r>
            <w:r w:rsidRPr="00760F3B">
              <w:rPr>
                <w:rFonts w:ascii="Times New Roman" w:hAnsi="Times New Roman"/>
                <w:sz w:val="24"/>
                <w:szCs w:val="24"/>
                <w:lang w:val="en-GB"/>
              </w:rPr>
              <w:t>.</w:t>
            </w:r>
            <w:r w:rsidR="00F23F14">
              <w:rPr>
                <w:rFonts w:ascii="Times New Roman" w:hAnsi="Times New Roman"/>
                <w:sz w:val="24"/>
                <w:szCs w:val="24"/>
                <w:lang w:val="en-GB"/>
              </w:rPr>
              <w:t xml:space="preserve"> </w:t>
            </w:r>
            <w:r w:rsidR="00F23F14" w:rsidRPr="00F23F14">
              <w:rPr>
                <w:rFonts w:ascii="Times New Roman" w:hAnsi="Times New Roman"/>
                <w:sz w:val="24"/>
                <w:szCs w:val="24"/>
                <w:lang w:val="en-GB"/>
              </w:rPr>
              <w:t>These two categories are mutually exclusive.</w:t>
            </w:r>
          </w:p>
          <w:p w14:paraId="27C01320" w14:textId="77777777" w:rsidR="000779A4" w:rsidRPr="00F23F14" w:rsidRDefault="00021F2A" w:rsidP="00F23F14">
            <w:pPr>
              <w:spacing w:line="360" w:lineRule="auto"/>
              <w:jc w:val="both"/>
              <w:rPr>
                <w:rFonts w:ascii="Times New Roman" w:hAnsi="Times New Roman"/>
                <w:sz w:val="24"/>
                <w:szCs w:val="24"/>
                <w:lang w:val="en-GB"/>
              </w:rPr>
            </w:pPr>
            <w:r>
              <w:rPr>
                <w:rFonts w:ascii="Times New Roman" w:hAnsi="Times New Roman"/>
                <w:sz w:val="24"/>
                <w:szCs w:val="24"/>
                <w:lang w:val="en-GB"/>
              </w:rPr>
              <w:t>‘C</w:t>
            </w:r>
            <w:r w:rsidRPr="00760F3B">
              <w:rPr>
                <w:rFonts w:ascii="Times New Roman" w:hAnsi="Times New Roman"/>
                <w:sz w:val="24"/>
                <w:szCs w:val="24"/>
                <w:lang w:val="en-GB"/>
              </w:rPr>
              <w:t>ards with an e-money function which have been loaded at least once</w:t>
            </w:r>
            <w:r>
              <w:rPr>
                <w:rFonts w:ascii="Times New Roman" w:hAnsi="Times New Roman"/>
                <w:sz w:val="24"/>
                <w:szCs w:val="24"/>
                <w:lang w:val="en-GB"/>
              </w:rPr>
              <w:t>’</w:t>
            </w:r>
            <w:r>
              <w:rPr>
                <w:rStyle w:val="FootnoteReference"/>
                <w:rFonts w:ascii="Times New Roman" w:hAnsi="Times New Roman"/>
                <w:sz w:val="24"/>
                <w:szCs w:val="24"/>
                <w:lang w:val="en-GB"/>
              </w:rPr>
              <w:footnoteReference w:id="27"/>
            </w:r>
            <w:r>
              <w:rPr>
                <w:rFonts w:ascii="Times New Roman" w:hAnsi="Times New Roman"/>
                <w:sz w:val="24"/>
                <w:szCs w:val="24"/>
                <w:lang w:val="en-GB"/>
              </w:rPr>
              <w:t xml:space="preserve"> is a sub-category of </w:t>
            </w:r>
            <w:r w:rsidR="005947B1">
              <w:rPr>
                <w:rFonts w:ascii="Times New Roman" w:hAnsi="Times New Roman"/>
                <w:sz w:val="24"/>
                <w:szCs w:val="24"/>
                <w:lang w:val="en-GB"/>
              </w:rPr>
              <w:t>‘C</w:t>
            </w:r>
            <w:r w:rsidRPr="00760F3B">
              <w:rPr>
                <w:rFonts w:ascii="Times New Roman" w:hAnsi="Times New Roman"/>
                <w:sz w:val="24"/>
                <w:szCs w:val="24"/>
                <w:lang w:val="en-GB"/>
              </w:rPr>
              <w:t>ard on which e-money can be stored directly’</w:t>
            </w:r>
            <w:r>
              <w:rPr>
                <w:rFonts w:ascii="Times New Roman" w:hAnsi="Times New Roman"/>
                <w:sz w:val="24"/>
                <w:szCs w:val="24"/>
                <w:lang w:val="en-GB"/>
              </w:rPr>
              <w:t>.</w:t>
            </w:r>
          </w:p>
        </w:tc>
      </w:tr>
      <w:tr w:rsidR="00591697" w:rsidRPr="008C7297" w14:paraId="0A7F1532" w14:textId="77777777" w:rsidTr="00F40693">
        <w:tc>
          <w:tcPr>
            <w:tcW w:w="2405" w:type="dxa"/>
          </w:tcPr>
          <w:p w14:paraId="3E491502" w14:textId="77777777" w:rsidR="00591697" w:rsidRPr="00760F3B" w:rsidRDefault="00591697" w:rsidP="003D1E63">
            <w:pPr>
              <w:spacing w:line="360" w:lineRule="auto"/>
              <w:rPr>
                <w:rFonts w:ascii="Times New Roman" w:hAnsi="Times New Roman"/>
                <w:b/>
                <w:sz w:val="24"/>
                <w:szCs w:val="24"/>
                <w:lang w:val="en-GB"/>
              </w:rPr>
            </w:pPr>
            <w:r w:rsidRPr="00760F3B">
              <w:rPr>
                <w:rFonts w:ascii="Times New Roman" w:hAnsi="Times New Roman"/>
                <w:b/>
                <w:sz w:val="24"/>
                <w:szCs w:val="24"/>
                <w:lang w:val="en-GB"/>
              </w:rPr>
              <w:t>Total number of cards (irrespective of the number of functions on the card)</w:t>
            </w:r>
          </w:p>
        </w:tc>
        <w:tc>
          <w:tcPr>
            <w:tcW w:w="7229" w:type="dxa"/>
          </w:tcPr>
          <w:p w14:paraId="14B7C89E" w14:textId="77777777" w:rsidR="00591697" w:rsidRDefault="00591697" w:rsidP="006810C4">
            <w:pPr>
              <w:spacing w:line="360" w:lineRule="auto"/>
              <w:jc w:val="both"/>
              <w:rPr>
                <w:rFonts w:ascii="Times New Roman" w:hAnsi="Times New Roman"/>
                <w:sz w:val="24"/>
                <w:szCs w:val="24"/>
                <w:lang w:val="en-GB"/>
              </w:rPr>
            </w:pPr>
            <w:r w:rsidRPr="00760F3B">
              <w:rPr>
                <w:rFonts w:ascii="Times New Roman" w:hAnsi="Times New Roman"/>
                <w:sz w:val="24"/>
                <w:szCs w:val="24"/>
                <w:lang w:val="en-GB"/>
              </w:rPr>
              <w:t>Include the total number of physical cards in circulation, irrespective of when they were issued or how actively they are used.  Cards with multiple functions should be counted only once. Cards which are posted to the cardholder for the purpose of a regular re-issue on account of the card’s limited period of validity are not counted.</w:t>
            </w:r>
          </w:p>
          <w:p w14:paraId="69981589" w14:textId="77777777" w:rsidR="004050C5" w:rsidRPr="004050C5" w:rsidRDefault="004050C5" w:rsidP="006810C4">
            <w:pPr>
              <w:spacing w:line="360" w:lineRule="auto"/>
              <w:jc w:val="both"/>
              <w:rPr>
                <w:rFonts w:ascii="Times New Roman" w:hAnsi="Times New Roman"/>
                <w:sz w:val="24"/>
                <w:szCs w:val="24"/>
                <w:lang w:val="en-GB"/>
              </w:rPr>
            </w:pPr>
            <w:r w:rsidRPr="004050C5">
              <w:rPr>
                <w:rFonts w:ascii="Times New Roman" w:hAnsi="Times New Roman"/>
                <w:sz w:val="24"/>
                <w:szCs w:val="24"/>
                <w:lang w:val="en-GB"/>
              </w:rPr>
              <w:t xml:space="preserve">Total number of cards (irrespective of the number of functions on the card) is broken down into </w:t>
            </w:r>
            <w:r>
              <w:rPr>
                <w:rFonts w:ascii="Times New Roman" w:hAnsi="Times New Roman"/>
                <w:sz w:val="24"/>
                <w:szCs w:val="24"/>
                <w:lang w:val="en-GB"/>
              </w:rPr>
              <w:t>‘</w:t>
            </w:r>
            <w:r w:rsidRPr="00760F3B">
              <w:rPr>
                <w:rFonts w:ascii="Times New Roman" w:hAnsi="Times New Roman"/>
                <w:sz w:val="24"/>
                <w:szCs w:val="24"/>
                <w:lang w:val="en-GB"/>
              </w:rPr>
              <w:t>Cards with a combined debit, cash and e-money function</w:t>
            </w:r>
            <w:r>
              <w:rPr>
                <w:rFonts w:ascii="Times New Roman" w:hAnsi="Times New Roman"/>
                <w:sz w:val="24"/>
                <w:szCs w:val="24"/>
                <w:lang w:val="en-GB"/>
              </w:rPr>
              <w:t>’</w:t>
            </w:r>
            <w:r w:rsidR="00E02B75">
              <w:rPr>
                <w:rStyle w:val="FootnoteReference"/>
                <w:rFonts w:ascii="Times New Roman" w:hAnsi="Times New Roman"/>
                <w:sz w:val="24"/>
                <w:szCs w:val="24"/>
                <w:lang w:val="en-GB"/>
              </w:rPr>
              <w:footnoteReference w:id="28"/>
            </w:r>
            <w:r>
              <w:rPr>
                <w:rFonts w:ascii="Times New Roman" w:hAnsi="Times New Roman"/>
                <w:sz w:val="24"/>
                <w:szCs w:val="24"/>
                <w:lang w:val="en-GB"/>
              </w:rPr>
              <w:t xml:space="preserve"> and ‘</w:t>
            </w:r>
            <w:r w:rsidRPr="00760F3B">
              <w:rPr>
                <w:rFonts w:ascii="Times New Roman" w:hAnsi="Times New Roman"/>
                <w:sz w:val="24"/>
                <w:szCs w:val="24"/>
                <w:lang w:val="en-GB"/>
              </w:rPr>
              <w:t>Cards with a contactless payment function</w:t>
            </w:r>
            <w:r>
              <w:rPr>
                <w:rFonts w:ascii="Times New Roman" w:hAnsi="Times New Roman"/>
                <w:sz w:val="24"/>
                <w:szCs w:val="24"/>
                <w:lang w:val="en-GB"/>
              </w:rPr>
              <w:t>’</w:t>
            </w:r>
            <w:r w:rsidR="00753555">
              <w:rPr>
                <w:rStyle w:val="FootnoteReference"/>
                <w:rFonts w:ascii="Times New Roman" w:hAnsi="Times New Roman"/>
                <w:sz w:val="24"/>
                <w:szCs w:val="24"/>
                <w:lang w:val="en-GB"/>
              </w:rPr>
              <w:footnoteReference w:id="29"/>
            </w:r>
            <w:r>
              <w:rPr>
                <w:rFonts w:ascii="Times New Roman" w:hAnsi="Times New Roman"/>
                <w:sz w:val="24"/>
                <w:szCs w:val="24"/>
                <w:lang w:val="en-GB"/>
              </w:rPr>
              <w:t>. These subcategories are not mutually exclusive.</w:t>
            </w:r>
          </w:p>
        </w:tc>
      </w:tr>
    </w:tbl>
    <w:p w14:paraId="485CCC45" w14:textId="77777777" w:rsidR="00150608" w:rsidRDefault="00150608" w:rsidP="00150608">
      <w:pPr>
        <w:rPr>
          <w:lang w:val="en-GB"/>
        </w:rPr>
      </w:pPr>
      <w:bookmarkStart w:id="27" w:name="_Table_3:_Card"/>
      <w:bookmarkEnd w:id="27"/>
    </w:p>
    <w:p w14:paraId="2B155A3F" w14:textId="77777777" w:rsidR="00150608" w:rsidRPr="00150608" w:rsidRDefault="00150608" w:rsidP="00150608">
      <w:pPr>
        <w:rPr>
          <w:lang w:val="en-GB"/>
        </w:rPr>
      </w:pPr>
    </w:p>
    <w:p w14:paraId="6D33DAEE" w14:textId="10653197" w:rsidR="00591697" w:rsidRPr="004E34FF" w:rsidRDefault="00591697" w:rsidP="006625A4">
      <w:pPr>
        <w:pStyle w:val="Heading4"/>
        <w:numPr>
          <w:ilvl w:val="0"/>
          <w:numId w:val="34"/>
        </w:numPr>
        <w:rPr>
          <w:rFonts w:ascii="Times New Roman" w:hAnsi="Times New Roman" w:cs="Times New Roman"/>
          <w:color w:val="003199"/>
          <w:sz w:val="28"/>
          <w:szCs w:val="28"/>
          <w:lang w:val="en-GB"/>
        </w:rPr>
      </w:pPr>
      <w:r w:rsidRPr="004E34FF">
        <w:rPr>
          <w:rFonts w:ascii="Times New Roman" w:hAnsi="Times New Roman" w:cs="Times New Roman"/>
          <w:color w:val="003199"/>
          <w:lang w:val="en-GB"/>
        </w:rPr>
        <w:lastRenderedPageBreak/>
        <w:t>Table 3: Card accepting devices</w:t>
      </w:r>
      <w:r w:rsidR="000F1F24">
        <w:rPr>
          <w:rFonts w:ascii="Times New Roman" w:hAnsi="Times New Roman" w:cs="Times New Roman"/>
          <w:color w:val="003199"/>
          <w:lang w:val="en-GB"/>
        </w:rPr>
        <w:t xml:space="preserve"> </w:t>
      </w:r>
      <w:r w:rsidR="000F1F24" w:rsidRPr="00284306">
        <w:rPr>
          <w:rFonts w:ascii="Times New Roman" w:hAnsi="Times New Roman" w:cs="Times New Roman"/>
          <w:i w:val="0"/>
          <w:color w:val="ED7D31" w:themeColor="accent2"/>
          <w:lang w:val="en-GB"/>
        </w:rPr>
        <w:t>(refers to worksheet 3)</w:t>
      </w:r>
    </w:p>
    <w:p w14:paraId="7962D791" w14:textId="5CEF78D6" w:rsidR="00591697" w:rsidRDefault="00F76228" w:rsidP="00760F3B">
      <w:pPr>
        <w:spacing w:after="120" w:line="360" w:lineRule="auto"/>
        <w:jc w:val="both"/>
        <w:rPr>
          <w:rFonts w:ascii="Times New Roman" w:hAnsi="Times New Roman"/>
          <w:sz w:val="24"/>
          <w:szCs w:val="24"/>
          <w:lang w:val="en-GB"/>
        </w:rPr>
      </w:pPr>
      <w:r w:rsidRPr="000F1F24">
        <w:rPr>
          <w:rFonts w:ascii="Times New Roman" w:hAnsi="Times New Roman"/>
          <w:sz w:val="24"/>
          <w:szCs w:val="24"/>
          <w:lang w:val="en-GB"/>
        </w:rPr>
        <w:t xml:space="preserve">The </w:t>
      </w:r>
      <w:r w:rsidR="00777537">
        <w:rPr>
          <w:rFonts w:ascii="Times New Roman" w:hAnsi="Times New Roman"/>
          <w:sz w:val="24"/>
          <w:szCs w:val="24"/>
          <w:lang w:val="en-GB"/>
        </w:rPr>
        <w:t>resident PSP that provides terminals should</w:t>
      </w:r>
      <w:r w:rsidRPr="000F1F24">
        <w:rPr>
          <w:rFonts w:ascii="Times New Roman" w:hAnsi="Times New Roman"/>
          <w:sz w:val="24"/>
          <w:szCs w:val="24"/>
          <w:lang w:val="en-GB"/>
        </w:rPr>
        <w:t xml:space="preserve"> report </w:t>
      </w:r>
      <w:r w:rsidR="000F1F24">
        <w:rPr>
          <w:rFonts w:ascii="Times New Roman" w:hAnsi="Times New Roman"/>
          <w:sz w:val="24"/>
          <w:szCs w:val="24"/>
          <w:lang w:val="en-GB"/>
        </w:rPr>
        <w:t>this information</w:t>
      </w:r>
      <w:r w:rsidR="00AD021D">
        <w:rPr>
          <w:rFonts w:ascii="Times New Roman" w:hAnsi="Times New Roman"/>
          <w:sz w:val="24"/>
          <w:szCs w:val="24"/>
          <w:lang w:val="en-GB"/>
        </w:rPr>
        <w:t xml:space="preserve"> (in case the said institution is a non-PSP, then the acquirer should report the terminal along with the acquiring transactions at these terminals).</w:t>
      </w:r>
      <w:r w:rsidRPr="000F1F24">
        <w:rPr>
          <w:rFonts w:ascii="Times New Roman" w:hAnsi="Times New Roman"/>
          <w:sz w:val="24"/>
          <w:szCs w:val="24"/>
          <w:lang w:val="en-GB"/>
        </w:rPr>
        <w:t xml:space="preserve"> </w:t>
      </w:r>
      <w:r w:rsidR="00374E0D" w:rsidRPr="00374E0D">
        <w:rPr>
          <w:rFonts w:ascii="Times New Roman" w:hAnsi="Times New Roman"/>
          <w:sz w:val="24"/>
          <w:szCs w:val="24"/>
          <w:lang w:val="en-GB"/>
        </w:rPr>
        <w:t xml:space="preserve">All </w:t>
      </w:r>
      <w:r w:rsidR="00354030">
        <w:rPr>
          <w:rFonts w:ascii="Times New Roman" w:hAnsi="Times New Roman"/>
          <w:sz w:val="24"/>
          <w:szCs w:val="24"/>
          <w:lang w:val="en-GB"/>
        </w:rPr>
        <w:t xml:space="preserve">active </w:t>
      </w:r>
      <w:r w:rsidR="00374E0D" w:rsidRPr="00374E0D">
        <w:rPr>
          <w:rFonts w:ascii="Times New Roman" w:hAnsi="Times New Roman"/>
          <w:sz w:val="24"/>
          <w:szCs w:val="24"/>
          <w:lang w:val="en-GB"/>
        </w:rPr>
        <w:t>physical terminals</w:t>
      </w:r>
      <w:r w:rsidR="003D6582">
        <w:rPr>
          <w:rFonts w:ascii="Times New Roman" w:hAnsi="Times New Roman"/>
          <w:sz w:val="24"/>
          <w:szCs w:val="24"/>
          <w:lang w:val="en-GB"/>
        </w:rPr>
        <w:t xml:space="preserve"> </w:t>
      </w:r>
      <w:r w:rsidR="00374E0D" w:rsidRPr="00374E0D">
        <w:rPr>
          <w:rFonts w:ascii="Times New Roman" w:hAnsi="Times New Roman"/>
          <w:sz w:val="24"/>
          <w:szCs w:val="24"/>
          <w:lang w:val="en-GB"/>
        </w:rPr>
        <w:t>at which transactions are acquired by resident PSPs</w:t>
      </w:r>
      <w:r w:rsidR="003D6582">
        <w:rPr>
          <w:rFonts w:ascii="Times New Roman" w:hAnsi="Times New Roman"/>
          <w:sz w:val="24"/>
          <w:szCs w:val="24"/>
          <w:lang w:val="en-GB"/>
        </w:rPr>
        <w:t>,</w:t>
      </w:r>
      <w:r w:rsidR="00374E0D" w:rsidRPr="00374E0D">
        <w:rPr>
          <w:rFonts w:ascii="Times New Roman" w:hAnsi="Times New Roman"/>
          <w:sz w:val="24"/>
          <w:szCs w:val="24"/>
          <w:lang w:val="en-GB"/>
        </w:rPr>
        <w:t xml:space="preserve"> including all terminals located in </w:t>
      </w:r>
      <w:r w:rsidR="00374E0D">
        <w:rPr>
          <w:rFonts w:ascii="Times New Roman" w:hAnsi="Times New Roman"/>
          <w:sz w:val="24"/>
          <w:szCs w:val="24"/>
          <w:lang w:val="en-GB"/>
        </w:rPr>
        <w:t>Cyprus</w:t>
      </w:r>
      <w:r w:rsidR="00374E0D" w:rsidRPr="00374E0D">
        <w:rPr>
          <w:rFonts w:ascii="Times New Roman" w:hAnsi="Times New Roman"/>
          <w:sz w:val="24"/>
          <w:szCs w:val="24"/>
          <w:lang w:val="en-GB"/>
        </w:rPr>
        <w:t xml:space="preserve"> and terminals located outside </w:t>
      </w:r>
      <w:r w:rsidR="003D6582">
        <w:rPr>
          <w:rFonts w:ascii="Times New Roman" w:hAnsi="Times New Roman"/>
          <w:sz w:val="24"/>
          <w:szCs w:val="24"/>
          <w:lang w:val="en-GB"/>
        </w:rPr>
        <w:t>Cyprus</w:t>
      </w:r>
      <w:r w:rsidR="00135EAB" w:rsidRPr="00135EAB">
        <w:rPr>
          <w:rFonts w:ascii="Times New Roman" w:hAnsi="Times New Roman"/>
          <w:sz w:val="24"/>
          <w:szCs w:val="24"/>
          <w:lang w:val="en-GB"/>
        </w:rPr>
        <w:t xml:space="preserve"> </w:t>
      </w:r>
      <w:r w:rsidR="00135EAB">
        <w:rPr>
          <w:rFonts w:ascii="Times New Roman" w:hAnsi="Times New Roman"/>
          <w:sz w:val="24"/>
          <w:szCs w:val="24"/>
          <w:lang w:val="en-GB"/>
        </w:rPr>
        <w:t>should be reported</w:t>
      </w:r>
      <w:r w:rsidR="00322662">
        <w:rPr>
          <w:rFonts w:ascii="Times New Roman" w:hAnsi="Times New Roman"/>
          <w:sz w:val="24"/>
          <w:szCs w:val="24"/>
          <w:lang w:val="en-GB"/>
        </w:rPr>
        <w:t xml:space="preserve"> (virtual terminals should be excluded)</w:t>
      </w:r>
      <w:r w:rsidR="00374E0D" w:rsidRPr="00374E0D">
        <w:rPr>
          <w:rFonts w:ascii="Times New Roman" w:hAnsi="Times New Roman"/>
          <w:sz w:val="24"/>
          <w:szCs w:val="24"/>
          <w:lang w:val="en-GB"/>
        </w:rPr>
        <w:t>.</w:t>
      </w:r>
      <w:r w:rsidR="003D6582">
        <w:rPr>
          <w:rFonts w:ascii="Times New Roman" w:hAnsi="Times New Roman"/>
          <w:sz w:val="24"/>
          <w:szCs w:val="24"/>
          <w:lang w:val="en-GB"/>
        </w:rPr>
        <w:t xml:space="preserve"> This </w:t>
      </w:r>
      <w:r w:rsidR="005B6E8B">
        <w:rPr>
          <w:rFonts w:ascii="Times New Roman" w:hAnsi="Times New Roman"/>
          <w:sz w:val="24"/>
          <w:szCs w:val="24"/>
          <w:lang w:val="en-GB"/>
        </w:rPr>
        <w:t xml:space="preserve">is </w:t>
      </w:r>
      <w:r w:rsidR="003D6582" w:rsidRPr="00760F3B">
        <w:rPr>
          <w:rFonts w:ascii="Times New Roman" w:hAnsi="Times New Roman"/>
          <w:sz w:val="24"/>
          <w:szCs w:val="24"/>
          <w:lang w:val="en-GB"/>
        </w:rPr>
        <w:t xml:space="preserve">further broken down by the </w:t>
      </w:r>
      <w:r w:rsidR="003D6582" w:rsidRPr="00760F3B">
        <w:rPr>
          <w:rFonts w:ascii="Times New Roman" w:hAnsi="Times New Roman"/>
          <w:b/>
          <w:color w:val="003199"/>
          <w:sz w:val="24"/>
          <w:szCs w:val="24"/>
          <w:lang w:val="en-GB"/>
        </w:rPr>
        <w:t>location of the terminal</w:t>
      </w:r>
      <w:r w:rsidR="003D6582" w:rsidRPr="00760F3B">
        <w:rPr>
          <w:rFonts w:ascii="Times New Roman" w:hAnsi="Times New Roman"/>
          <w:color w:val="003199"/>
          <w:sz w:val="24"/>
          <w:szCs w:val="24"/>
          <w:lang w:val="en-GB"/>
        </w:rPr>
        <w:t xml:space="preserve"> </w:t>
      </w:r>
      <w:r w:rsidR="003D6582" w:rsidRPr="00760F3B">
        <w:rPr>
          <w:rFonts w:ascii="Times New Roman" w:hAnsi="Times New Roman"/>
          <w:sz w:val="24"/>
          <w:szCs w:val="24"/>
          <w:lang w:val="en-GB"/>
        </w:rPr>
        <w:t>in each individual EEA member, with a separate total for countries outside the EEA.</w:t>
      </w:r>
      <w:r w:rsidR="002B34A5">
        <w:rPr>
          <w:rFonts w:ascii="Times New Roman" w:hAnsi="Times New Roman"/>
          <w:sz w:val="24"/>
          <w:szCs w:val="24"/>
          <w:lang w:val="en-GB"/>
        </w:rPr>
        <w:t xml:space="preserve"> </w:t>
      </w:r>
      <w:r w:rsidR="00591697" w:rsidRPr="00760F3B">
        <w:rPr>
          <w:rFonts w:ascii="Times New Roman" w:hAnsi="Times New Roman"/>
          <w:sz w:val="24"/>
          <w:szCs w:val="24"/>
          <w:lang w:val="en-GB"/>
        </w:rPr>
        <w:t xml:space="preserve">Each terminal is counted individually even if several terminals of the same type exist at one merchant location. </w:t>
      </w:r>
    </w:p>
    <w:tbl>
      <w:tblPr>
        <w:tblStyle w:val="TableGrid"/>
        <w:tblW w:w="0" w:type="auto"/>
        <w:tblLook w:val="04A0" w:firstRow="1" w:lastRow="0" w:firstColumn="1" w:lastColumn="0" w:noHBand="0" w:noVBand="1"/>
      </w:tblPr>
      <w:tblGrid>
        <w:gridCol w:w="2405"/>
        <w:gridCol w:w="7229"/>
      </w:tblGrid>
      <w:tr w:rsidR="00591697" w:rsidRPr="00F53249" w14:paraId="57A256E4" w14:textId="77777777" w:rsidTr="00F40693">
        <w:tc>
          <w:tcPr>
            <w:tcW w:w="2405" w:type="dxa"/>
          </w:tcPr>
          <w:p w14:paraId="5FF4C04C" w14:textId="77777777" w:rsidR="00591697" w:rsidRPr="00760F3B" w:rsidRDefault="00591697" w:rsidP="003D1E63">
            <w:pPr>
              <w:spacing w:before="60" w:line="360" w:lineRule="auto"/>
              <w:rPr>
                <w:rFonts w:ascii="Times New Roman" w:hAnsi="Times New Roman"/>
                <w:b/>
                <w:sz w:val="24"/>
                <w:szCs w:val="24"/>
                <w:lang w:val="en-GB"/>
              </w:rPr>
            </w:pPr>
            <w:r w:rsidRPr="00760F3B">
              <w:rPr>
                <w:rFonts w:ascii="Times New Roman" w:hAnsi="Times New Roman"/>
                <w:b/>
                <w:sz w:val="24"/>
                <w:szCs w:val="24"/>
                <w:lang w:val="en-GB"/>
              </w:rPr>
              <w:t>ATMs</w:t>
            </w:r>
          </w:p>
        </w:tc>
        <w:tc>
          <w:tcPr>
            <w:tcW w:w="7229" w:type="dxa"/>
          </w:tcPr>
          <w:p w14:paraId="4B820FBB" w14:textId="77777777" w:rsidR="002C3AC1" w:rsidRPr="00760F3B" w:rsidRDefault="00591697" w:rsidP="006F0B0C">
            <w:pPr>
              <w:spacing w:before="6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Include the number of ATMs owned by a </w:t>
            </w:r>
            <w:r w:rsidR="005B6E8B">
              <w:rPr>
                <w:rFonts w:ascii="Times New Roman" w:hAnsi="Times New Roman"/>
                <w:sz w:val="24"/>
                <w:szCs w:val="24"/>
                <w:lang w:val="en-GB"/>
              </w:rPr>
              <w:t xml:space="preserve">resident </w:t>
            </w:r>
            <w:r w:rsidRPr="00760F3B">
              <w:rPr>
                <w:rFonts w:ascii="Times New Roman" w:hAnsi="Times New Roman"/>
                <w:sz w:val="24"/>
                <w:szCs w:val="24"/>
                <w:lang w:val="en-GB"/>
              </w:rPr>
              <w:t>PSP. Cash recycling machines are included in the reporting of ATMs. Bulk deposit machines are not included.</w:t>
            </w:r>
            <w:r w:rsidR="005B6E8B">
              <w:rPr>
                <w:rFonts w:ascii="Times New Roman" w:hAnsi="Times New Roman"/>
                <w:sz w:val="24"/>
                <w:szCs w:val="24"/>
                <w:lang w:val="en-GB"/>
              </w:rPr>
              <w:t xml:space="preserve"> </w:t>
            </w:r>
            <w:r w:rsidR="002C3AC1" w:rsidRPr="002C3AC1">
              <w:rPr>
                <w:rFonts w:ascii="Times New Roman" w:hAnsi="Times New Roman"/>
                <w:sz w:val="24"/>
                <w:szCs w:val="24"/>
                <w:lang w:val="en-GB"/>
              </w:rPr>
              <w:t>If an ATM offers more than one function, it is counted in each applicable sub-category. Therefore, the total number of ATMs may be smaller than the sum of the sub-categories.</w:t>
            </w:r>
            <w:r w:rsidR="006327BA">
              <w:rPr>
                <w:rFonts w:ascii="Times New Roman" w:hAnsi="Times New Roman"/>
                <w:sz w:val="24"/>
                <w:szCs w:val="24"/>
                <w:lang w:val="en-GB"/>
              </w:rPr>
              <w:t xml:space="preserve"> The sub-categories are </w:t>
            </w:r>
            <w:r w:rsidR="00EE0BA1">
              <w:rPr>
                <w:rFonts w:ascii="Times New Roman" w:hAnsi="Times New Roman"/>
                <w:sz w:val="24"/>
                <w:szCs w:val="24"/>
                <w:lang w:val="en-GB"/>
              </w:rPr>
              <w:t>‘</w:t>
            </w:r>
            <w:r w:rsidR="006327BA" w:rsidRPr="00760F3B">
              <w:rPr>
                <w:rFonts w:ascii="Times New Roman" w:hAnsi="Times New Roman"/>
                <w:sz w:val="24"/>
                <w:szCs w:val="24"/>
                <w:lang w:val="en-GB"/>
              </w:rPr>
              <w:t>ATMs with a cash withdrawal function</w:t>
            </w:r>
            <w:r w:rsidR="00EE0BA1">
              <w:rPr>
                <w:rFonts w:ascii="Times New Roman" w:hAnsi="Times New Roman"/>
                <w:sz w:val="24"/>
                <w:szCs w:val="24"/>
                <w:lang w:val="en-GB"/>
              </w:rPr>
              <w:t>’</w:t>
            </w:r>
            <w:r w:rsidR="006327BA">
              <w:rPr>
                <w:rStyle w:val="FootnoteReference"/>
                <w:rFonts w:ascii="Times New Roman" w:hAnsi="Times New Roman"/>
                <w:sz w:val="24"/>
                <w:szCs w:val="24"/>
                <w:lang w:val="en-GB"/>
              </w:rPr>
              <w:footnoteReference w:id="30"/>
            </w:r>
            <w:r w:rsidR="006327BA">
              <w:rPr>
                <w:rFonts w:ascii="Times New Roman" w:hAnsi="Times New Roman"/>
                <w:sz w:val="24"/>
                <w:szCs w:val="24"/>
                <w:lang w:val="en-GB"/>
              </w:rPr>
              <w:t xml:space="preserve">, </w:t>
            </w:r>
            <w:r w:rsidR="00EE0BA1">
              <w:rPr>
                <w:rFonts w:ascii="Times New Roman" w:hAnsi="Times New Roman"/>
                <w:sz w:val="24"/>
                <w:szCs w:val="24"/>
                <w:lang w:val="en-GB"/>
              </w:rPr>
              <w:t>‘</w:t>
            </w:r>
            <w:r w:rsidR="006327BA" w:rsidRPr="00760F3B">
              <w:rPr>
                <w:rFonts w:ascii="Times New Roman" w:hAnsi="Times New Roman"/>
                <w:sz w:val="24"/>
                <w:szCs w:val="24"/>
                <w:lang w:val="en-GB"/>
              </w:rPr>
              <w:t>ATMs with a credit transfer function</w:t>
            </w:r>
            <w:r w:rsidR="00EE0BA1">
              <w:rPr>
                <w:rFonts w:ascii="Times New Roman" w:hAnsi="Times New Roman"/>
                <w:sz w:val="24"/>
                <w:szCs w:val="24"/>
                <w:lang w:val="en-GB"/>
              </w:rPr>
              <w:t>’</w:t>
            </w:r>
            <w:r w:rsidR="006327BA">
              <w:rPr>
                <w:rStyle w:val="FootnoteReference"/>
                <w:rFonts w:ascii="Times New Roman" w:hAnsi="Times New Roman"/>
                <w:sz w:val="24"/>
                <w:szCs w:val="24"/>
                <w:lang w:val="en-GB"/>
              </w:rPr>
              <w:footnoteReference w:id="31"/>
            </w:r>
            <w:r w:rsidR="006327BA">
              <w:rPr>
                <w:rFonts w:ascii="Times New Roman" w:hAnsi="Times New Roman"/>
                <w:sz w:val="24"/>
                <w:szCs w:val="24"/>
                <w:lang w:val="en-GB"/>
              </w:rPr>
              <w:t xml:space="preserve"> and </w:t>
            </w:r>
            <w:r w:rsidR="00EE0BA1">
              <w:rPr>
                <w:rFonts w:ascii="Times New Roman" w:hAnsi="Times New Roman"/>
                <w:sz w:val="24"/>
                <w:szCs w:val="24"/>
                <w:lang w:val="en-GB"/>
              </w:rPr>
              <w:t>‘</w:t>
            </w:r>
            <w:r w:rsidR="006327BA" w:rsidRPr="00760F3B">
              <w:rPr>
                <w:rFonts w:ascii="Times New Roman" w:hAnsi="Times New Roman"/>
                <w:sz w:val="24"/>
                <w:szCs w:val="24"/>
                <w:lang w:val="en-GB"/>
              </w:rPr>
              <w:t>ATMs accepting contactless transactions</w:t>
            </w:r>
            <w:r w:rsidR="00EE0BA1">
              <w:rPr>
                <w:rFonts w:ascii="Times New Roman" w:hAnsi="Times New Roman"/>
                <w:sz w:val="24"/>
                <w:szCs w:val="24"/>
                <w:lang w:val="en-GB"/>
              </w:rPr>
              <w:t>’</w:t>
            </w:r>
            <w:r w:rsidR="006327BA">
              <w:rPr>
                <w:rStyle w:val="FootnoteReference"/>
                <w:rFonts w:ascii="Times New Roman" w:hAnsi="Times New Roman"/>
                <w:sz w:val="24"/>
                <w:szCs w:val="24"/>
                <w:lang w:val="en-GB"/>
              </w:rPr>
              <w:footnoteReference w:id="32"/>
            </w:r>
            <w:r w:rsidR="006327BA">
              <w:rPr>
                <w:rFonts w:ascii="Times New Roman" w:hAnsi="Times New Roman"/>
                <w:sz w:val="24"/>
                <w:szCs w:val="24"/>
                <w:lang w:val="en-GB"/>
              </w:rPr>
              <w:t>.</w:t>
            </w:r>
          </w:p>
        </w:tc>
      </w:tr>
      <w:tr w:rsidR="00591697" w:rsidRPr="00A424A6" w14:paraId="49F85E2A" w14:textId="77777777" w:rsidTr="00F40693">
        <w:tc>
          <w:tcPr>
            <w:tcW w:w="2405" w:type="dxa"/>
          </w:tcPr>
          <w:p w14:paraId="09EC607E" w14:textId="77777777" w:rsidR="00591697" w:rsidRPr="00760F3B" w:rsidRDefault="00591697" w:rsidP="003D1E63">
            <w:pPr>
              <w:spacing w:before="60" w:line="360" w:lineRule="auto"/>
              <w:rPr>
                <w:rFonts w:ascii="Times New Roman" w:hAnsi="Times New Roman"/>
                <w:b/>
                <w:sz w:val="24"/>
                <w:szCs w:val="24"/>
                <w:lang w:val="en-GB"/>
              </w:rPr>
            </w:pPr>
            <w:r w:rsidRPr="00760F3B">
              <w:rPr>
                <w:rFonts w:ascii="Times New Roman" w:hAnsi="Times New Roman"/>
                <w:b/>
                <w:sz w:val="24"/>
                <w:szCs w:val="24"/>
                <w:lang w:val="en-GB"/>
              </w:rPr>
              <w:t>POS terminals</w:t>
            </w:r>
          </w:p>
        </w:tc>
        <w:tc>
          <w:tcPr>
            <w:tcW w:w="7229" w:type="dxa"/>
          </w:tcPr>
          <w:p w14:paraId="4C3E7852" w14:textId="67F26D45" w:rsidR="00591697" w:rsidRPr="00A9764A" w:rsidRDefault="00591697" w:rsidP="00135EAB">
            <w:pPr>
              <w:spacing w:before="60" w:line="360" w:lineRule="auto"/>
              <w:jc w:val="both"/>
              <w:rPr>
                <w:rFonts w:ascii="Times New Roman" w:hAnsi="Times New Roman"/>
                <w:sz w:val="24"/>
                <w:szCs w:val="24"/>
                <w:lang w:val="en-US"/>
              </w:rPr>
            </w:pPr>
            <w:r w:rsidRPr="00760F3B">
              <w:rPr>
                <w:rFonts w:ascii="Times New Roman" w:hAnsi="Times New Roman"/>
                <w:sz w:val="24"/>
                <w:szCs w:val="24"/>
                <w:lang w:val="en-GB"/>
              </w:rPr>
              <w:t>Include the number of POS</w:t>
            </w:r>
            <w:r w:rsidRPr="00760F3B">
              <w:rPr>
                <w:rStyle w:val="FootnoteReference"/>
                <w:rFonts w:ascii="Times New Roman" w:hAnsi="Times New Roman"/>
                <w:sz w:val="24"/>
                <w:szCs w:val="24"/>
                <w:lang w:val="en-GB"/>
              </w:rPr>
              <w:footnoteReference w:id="33"/>
            </w:r>
            <w:r w:rsidR="00294019">
              <w:rPr>
                <w:rFonts w:ascii="Times New Roman" w:hAnsi="Times New Roman"/>
                <w:sz w:val="24"/>
                <w:szCs w:val="24"/>
                <w:lang w:val="en-GB"/>
              </w:rPr>
              <w:t xml:space="preserve"> owned by a resident PSP</w:t>
            </w:r>
            <w:r w:rsidRPr="00760F3B">
              <w:rPr>
                <w:rFonts w:ascii="Times New Roman" w:hAnsi="Times New Roman"/>
                <w:sz w:val="24"/>
                <w:szCs w:val="24"/>
                <w:lang w:val="en-GB"/>
              </w:rPr>
              <w:t>.</w:t>
            </w:r>
            <w:r w:rsidR="002B34A5">
              <w:rPr>
                <w:rFonts w:ascii="Times New Roman" w:hAnsi="Times New Roman"/>
                <w:sz w:val="24"/>
                <w:szCs w:val="24"/>
                <w:lang w:val="en-GB"/>
              </w:rPr>
              <w:t xml:space="preserve"> </w:t>
            </w:r>
            <w:r w:rsidRPr="00760F3B">
              <w:rPr>
                <w:rFonts w:ascii="Times New Roman" w:hAnsi="Times New Roman"/>
                <w:sz w:val="24"/>
                <w:szCs w:val="24"/>
                <w:lang w:val="en-GB"/>
              </w:rPr>
              <w:t xml:space="preserve">Physical point of interactions (POI) </w:t>
            </w:r>
            <w:proofErr w:type="gramStart"/>
            <w:r w:rsidRPr="00760F3B">
              <w:rPr>
                <w:rFonts w:ascii="Times New Roman" w:hAnsi="Times New Roman"/>
                <w:sz w:val="24"/>
                <w:szCs w:val="24"/>
                <w:lang w:val="en-GB"/>
              </w:rPr>
              <w:t>are</w:t>
            </w:r>
            <w:proofErr w:type="gramEnd"/>
            <w:r w:rsidRPr="00760F3B">
              <w:rPr>
                <w:rFonts w:ascii="Times New Roman" w:hAnsi="Times New Roman"/>
                <w:sz w:val="24"/>
                <w:szCs w:val="24"/>
                <w:lang w:val="en-GB"/>
              </w:rPr>
              <w:t xml:space="preserve"> included in the item while virtual POI are excluded. Only terminals which accept at least card-based payment instruments are included. Terminals may also accept e-money.</w:t>
            </w:r>
            <w:r w:rsidR="00135EAB">
              <w:rPr>
                <w:rFonts w:ascii="Times New Roman" w:hAnsi="Times New Roman"/>
                <w:sz w:val="24"/>
                <w:szCs w:val="24"/>
                <w:lang w:val="en-GB"/>
              </w:rPr>
              <w:t xml:space="preserve"> </w:t>
            </w:r>
            <w:r w:rsidR="00A9764A" w:rsidRPr="00A9764A">
              <w:rPr>
                <w:rFonts w:ascii="Times New Roman" w:hAnsi="Times New Roman"/>
                <w:sz w:val="24"/>
                <w:szCs w:val="24"/>
                <w:lang w:val="en-US"/>
              </w:rPr>
              <w:t>mPOS</w:t>
            </w:r>
            <w:r w:rsidR="00A9764A" w:rsidRPr="00A9764A">
              <w:rPr>
                <w:rStyle w:val="FootnoteReference"/>
                <w:rFonts w:ascii="Times New Roman" w:hAnsi="Times New Roman"/>
                <w:sz w:val="24"/>
                <w:szCs w:val="24"/>
                <w:lang w:val="en-US"/>
              </w:rPr>
              <w:footnoteReference w:id="34"/>
            </w:r>
            <w:r w:rsidR="00A9764A" w:rsidRPr="00A9764A">
              <w:rPr>
                <w:rFonts w:ascii="Times New Roman" w:hAnsi="Times New Roman"/>
                <w:sz w:val="24"/>
                <w:szCs w:val="24"/>
                <w:lang w:val="en-US"/>
              </w:rPr>
              <w:t xml:space="preserve"> solutions used via physical devices should be </w:t>
            </w:r>
            <w:r w:rsidR="00A9764A">
              <w:rPr>
                <w:rFonts w:ascii="Times New Roman" w:hAnsi="Times New Roman"/>
                <w:sz w:val="24"/>
                <w:szCs w:val="24"/>
                <w:lang w:val="en-US"/>
              </w:rPr>
              <w:t xml:space="preserve">also </w:t>
            </w:r>
            <w:r w:rsidR="00A9764A" w:rsidRPr="00A9764A">
              <w:rPr>
                <w:rFonts w:ascii="Times New Roman" w:hAnsi="Times New Roman"/>
                <w:sz w:val="24"/>
                <w:szCs w:val="24"/>
                <w:lang w:val="en-US"/>
              </w:rPr>
              <w:t>counted and reported in the number of POS</w:t>
            </w:r>
            <w:r w:rsidR="00A9764A">
              <w:rPr>
                <w:rFonts w:ascii="Times New Roman" w:hAnsi="Times New Roman"/>
                <w:sz w:val="24"/>
                <w:szCs w:val="24"/>
                <w:lang w:val="en-US"/>
              </w:rPr>
              <w:t>.</w:t>
            </w:r>
          </w:p>
          <w:p w14:paraId="139AC49F" w14:textId="77777777" w:rsidR="00A424A6" w:rsidRPr="00A424A6" w:rsidRDefault="00A424A6" w:rsidP="00A424A6">
            <w:pPr>
              <w:spacing w:before="60" w:line="360" w:lineRule="auto"/>
              <w:jc w:val="both"/>
              <w:rPr>
                <w:rFonts w:ascii="Times New Roman" w:hAnsi="Times New Roman"/>
                <w:sz w:val="24"/>
                <w:szCs w:val="24"/>
                <w:u w:val="single"/>
                <w:lang w:val="en-GB"/>
              </w:rPr>
            </w:pPr>
            <w:r w:rsidRPr="00A424A6">
              <w:rPr>
                <w:rFonts w:ascii="Times New Roman" w:hAnsi="Times New Roman"/>
                <w:sz w:val="24"/>
                <w:szCs w:val="24"/>
                <w:u w:val="single"/>
                <w:lang w:val="en-GB"/>
              </w:rPr>
              <w:t>EFTPOS terminals</w:t>
            </w:r>
            <w:r w:rsidRPr="004E6013">
              <w:rPr>
                <w:rStyle w:val="FootnoteReference"/>
                <w:rFonts w:ascii="Times New Roman" w:hAnsi="Times New Roman"/>
                <w:sz w:val="24"/>
                <w:szCs w:val="24"/>
                <w:lang w:val="en-GB"/>
              </w:rPr>
              <w:footnoteReference w:id="35"/>
            </w:r>
          </w:p>
          <w:p w14:paraId="3375D1A4" w14:textId="77777777" w:rsidR="00A424A6" w:rsidRPr="00135EAB" w:rsidRDefault="00A424A6" w:rsidP="007E766F">
            <w:pPr>
              <w:spacing w:before="60" w:line="360" w:lineRule="auto"/>
              <w:jc w:val="both"/>
              <w:rPr>
                <w:rFonts w:ascii="Times New Roman" w:hAnsi="Times New Roman"/>
                <w:color w:val="FF0000"/>
                <w:sz w:val="24"/>
                <w:szCs w:val="24"/>
                <w:lang w:val="en-GB"/>
              </w:rPr>
            </w:pPr>
            <w:r>
              <w:rPr>
                <w:rFonts w:ascii="Times New Roman" w:hAnsi="Times New Roman"/>
                <w:sz w:val="24"/>
                <w:szCs w:val="24"/>
                <w:lang w:val="en-GB"/>
              </w:rPr>
              <w:lastRenderedPageBreak/>
              <w:t>EFTPOS terminals are broken down into those ‘</w:t>
            </w:r>
            <w:r w:rsidRPr="00760F3B">
              <w:rPr>
                <w:rFonts w:ascii="Times New Roman" w:hAnsi="Times New Roman"/>
                <w:sz w:val="24"/>
                <w:szCs w:val="24"/>
                <w:lang w:val="en-GB"/>
              </w:rPr>
              <w:t>accepting contactless tran</w:t>
            </w:r>
            <w:r>
              <w:rPr>
                <w:rFonts w:ascii="Times New Roman" w:hAnsi="Times New Roman"/>
                <w:sz w:val="24"/>
                <w:szCs w:val="24"/>
                <w:lang w:val="en-GB"/>
              </w:rPr>
              <w:t>sactions’</w:t>
            </w:r>
            <w:r>
              <w:rPr>
                <w:rStyle w:val="FootnoteReference"/>
                <w:rFonts w:ascii="Times New Roman" w:hAnsi="Times New Roman"/>
                <w:sz w:val="24"/>
                <w:szCs w:val="24"/>
                <w:lang w:val="en-GB"/>
              </w:rPr>
              <w:footnoteReference w:id="36"/>
            </w:r>
            <w:r>
              <w:rPr>
                <w:rFonts w:ascii="Times New Roman" w:hAnsi="Times New Roman"/>
                <w:sz w:val="24"/>
                <w:szCs w:val="24"/>
                <w:lang w:val="en-GB"/>
              </w:rPr>
              <w:t xml:space="preserve"> and those ‘</w:t>
            </w:r>
            <w:r w:rsidRPr="00760F3B">
              <w:rPr>
                <w:rFonts w:ascii="Times New Roman" w:hAnsi="Times New Roman"/>
                <w:sz w:val="24"/>
                <w:szCs w:val="24"/>
                <w:lang w:val="en-GB"/>
              </w:rPr>
              <w:t>accepting e-money card transactions</w:t>
            </w:r>
            <w:r>
              <w:rPr>
                <w:rFonts w:ascii="Times New Roman" w:hAnsi="Times New Roman"/>
                <w:sz w:val="24"/>
                <w:szCs w:val="24"/>
                <w:lang w:val="en-GB"/>
              </w:rPr>
              <w:t>’</w:t>
            </w:r>
            <w:r>
              <w:rPr>
                <w:rStyle w:val="FootnoteReference"/>
                <w:rFonts w:ascii="Times New Roman" w:hAnsi="Times New Roman"/>
                <w:sz w:val="24"/>
                <w:szCs w:val="24"/>
                <w:lang w:val="en-GB"/>
              </w:rPr>
              <w:t xml:space="preserve"> </w:t>
            </w:r>
            <w:r>
              <w:rPr>
                <w:rStyle w:val="FootnoteReference"/>
                <w:rFonts w:ascii="Times New Roman" w:hAnsi="Times New Roman"/>
                <w:sz w:val="24"/>
                <w:szCs w:val="24"/>
                <w:lang w:val="en-GB"/>
              </w:rPr>
              <w:footnoteReference w:id="37"/>
            </w:r>
            <w:r w:rsidRPr="00760F3B">
              <w:rPr>
                <w:rFonts w:ascii="Times New Roman" w:hAnsi="Times New Roman"/>
                <w:sz w:val="24"/>
                <w:szCs w:val="24"/>
                <w:lang w:val="en-GB"/>
              </w:rPr>
              <w:t xml:space="preserve">. </w:t>
            </w:r>
            <w:r w:rsidRPr="00196025">
              <w:rPr>
                <w:rFonts w:ascii="Times New Roman" w:hAnsi="Times New Roman"/>
                <w:sz w:val="24"/>
                <w:szCs w:val="24"/>
                <w:lang w:val="en-GB"/>
              </w:rPr>
              <w:t>These subcategories are not mutually exclusive.</w:t>
            </w:r>
          </w:p>
        </w:tc>
      </w:tr>
      <w:tr w:rsidR="00591697" w:rsidRPr="00D93AD3" w14:paraId="7DC341D3" w14:textId="77777777" w:rsidTr="00F40693">
        <w:tc>
          <w:tcPr>
            <w:tcW w:w="2405" w:type="dxa"/>
          </w:tcPr>
          <w:p w14:paraId="58414613" w14:textId="77777777" w:rsidR="00591697" w:rsidRPr="00760F3B" w:rsidRDefault="00591697" w:rsidP="003D1E63">
            <w:pPr>
              <w:spacing w:before="60" w:line="360" w:lineRule="auto"/>
              <w:rPr>
                <w:rFonts w:ascii="Times New Roman" w:hAnsi="Times New Roman"/>
                <w:b/>
                <w:sz w:val="24"/>
                <w:szCs w:val="24"/>
                <w:lang w:val="en-GB"/>
              </w:rPr>
            </w:pPr>
            <w:r w:rsidRPr="00760F3B">
              <w:rPr>
                <w:rFonts w:ascii="Times New Roman" w:hAnsi="Times New Roman"/>
                <w:b/>
                <w:sz w:val="24"/>
                <w:szCs w:val="24"/>
                <w:lang w:val="en-GB"/>
              </w:rPr>
              <w:lastRenderedPageBreak/>
              <w:t>E-money card terminals</w:t>
            </w:r>
          </w:p>
        </w:tc>
        <w:tc>
          <w:tcPr>
            <w:tcW w:w="7229" w:type="dxa"/>
          </w:tcPr>
          <w:p w14:paraId="5B2A386B" w14:textId="77777777" w:rsidR="00AC2799" w:rsidRPr="00760F3B" w:rsidRDefault="00AC2799" w:rsidP="00D93AD3">
            <w:pPr>
              <w:spacing w:before="60" w:line="360" w:lineRule="auto"/>
              <w:jc w:val="both"/>
              <w:rPr>
                <w:rFonts w:ascii="Times New Roman" w:hAnsi="Times New Roman"/>
                <w:sz w:val="24"/>
                <w:szCs w:val="24"/>
                <w:lang w:val="en-GB"/>
              </w:rPr>
            </w:pPr>
            <w:r>
              <w:rPr>
                <w:rFonts w:ascii="Times New Roman" w:hAnsi="Times New Roman"/>
                <w:sz w:val="24"/>
                <w:szCs w:val="24"/>
                <w:lang w:val="en-GB"/>
              </w:rPr>
              <w:t xml:space="preserve">Include the number of </w:t>
            </w:r>
            <w:r w:rsidRPr="00AC2799">
              <w:rPr>
                <w:rFonts w:ascii="Times New Roman" w:hAnsi="Times New Roman"/>
                <w:sz w:val="24"/>
                <w:szCs w:val="24"/>
                <w:lang w:val="en-GB"/>
              </w:rPr>
              <w:t xml:space="preserve">all terminals at which a payer can pay using a card with an e-money function. This </w:t>
            </w:r>
            <w:r w:rsidR="007E766F">
              <w:rPr>
                <w:rFonts w:ascii="Times New Roman" w:hAnsi="Times New Roman"/>
                <w:sz w:val="24"/>
                <w:szCs w:val="24"/>
                <w:lang w:val="en-GB"/>
              </w:rPr>
              <w:t xml:space="preserve">item </w:t>
            </w:r>
            <w:r w:rsidRPr="00AC2799">
              <w:rPr>
                <w:rFonts w:ascii="Times New Roman" w:hAnsi="Times New Roman"/>
                <w:sz w:val="24"/>
                <w:szCs w:val="24"/>
                <w:lang w:val="en-GB"/>
              </w:rPr>
              <w:t xml:space="preserve">also includes – but is not limited to – </w:t>
            </w:r>
            <w:r w:rsidR="00850EF0">
              <w:rPr>
                <w:rFonts w:ascii="Times New Roman" w:hAnsi="Times New Roman"/>
                <w:sz w:val="24"/>
                <w:szCs w:val="24"/>
                <w:lang w:val="en-GB"/>
              </w:rPr>
              <w:t>‘</w:t>
            </w:r>
            <w:r w:rsidRPr="00AC2799">
              <w:rPr>
                <w:rFonts w:ascii="Times New Roman" w:hAnsi="Times New Roman"/>
                <w:sz w:val="24"/>
                <w:szCs w:val="24"/>
                <w:lang w:val="en-GB"/>
              </w:rPr>
              <w:t xml:space="preserve">POS terminals accepting e-money card </w:t>
            </w:r>
            <w:proofErr w:type="gramStart"/>
            <w:r w:rsidRPr="00AC2799">
              <w:rPr>
                <w:rFonts w:ascii="Times New Roman" w:hAnsi="Times New Roman"/>
                <w:sz w:val="24"/>
                <w:szCs w:val="24"/>
                <w:lang w:val="en-GB"/>
              </w:rPr>
              <w:t>transactions</w:t>
            </w:r>
            <w:r w:rsidR="00850EF0">
              <w:rPr>
                <w:rFonts w:ascii="Times New Roman" w:hAnsi="Times New Roman"/>
                <w:sz w:val="24"/>
                <w:szCs w:val="24"/>
                <w:lang w:val="en-GB"/>
              </w:rPr>
              <w:t>’</w:t>
            </w:r>
            <w:proofErr w:type="gramEnd"/>
            <w:r w:rsidRPr="00AC2799">
              <w:rPr>
                <w:rFonts w:ascii="Times New Roman" w:hAnsi="Times New Roman"/>
                <w:sz w:val="24"/>
                <w:szCs w:val="24"/>
                <w:lang w:val="en-GB"/>
              </w:rPr>
              <w:t xml:space="preserve">. </w:t>
            </w:r>
            <w:r w:rsidR="006327BA" w:rsidRPr="006327BA">
              <w:rPr>
                <w:rFonts w:ascii="Times New Roman" w:hAnsi="Times New Roman"/>
                <w:sz w:val="24"/>
                <w:szCs w:val="24"/>
                <w:lang w:val="en-GB"/>
              </w:rPr>
              <w:t xml:space="preserve">E-money card </w:t>
            </w:r>
            <w:r w:rsidR="006327BA">
              <w:rPr>
                <w:rFonts w:ascii="Times New Roman" w:hAnsi="Times New Roman"/>
                <w:sz w:val="24"/>
                <w:szCs w:val="24"/>
                <w:lang w:val="en-GB"/>
              </w:rPr>
              <w:t xml:space="preserve">terminals are broken down into </w:t>
            </w:r>
            <w:r w:rsidR="00EE0BA1">
              <w:rPr>
                <w:rFonts w:ascii="Times New Roman" w:hAnsi="Times New Roman"/>
                <w:sz w:val="24"/>
                <w:szCs w:val="24"/>
                <w:lang w:val="en-GB"/>
              </w:rPr>
              <w:t>‘</w:t>
            </w:r>
            <w:r w:rsidR="006327BA" w:rsidRPr="00760F3B">
              <w:rPr>
                <w:rFonts w:ascii="Times New Roman" w:hAnsi="Times New Roman"/>
                <w:sz w:val="24"/>
                <w:szCs w:val="24"/>
                <w:lang w:val="en-GB"/>
              </w:rPr>
              <w:t>E-money card – loading and unloading terminals</w:t>
            </w:r>
            <w:r w:rsidR="00EE0BA1">
              <w:rPr>
                <w:rFonts w:ascii="Times New Roman" w:hAnsi="Times New Roman"/>
                <w:sz w:val="24"/>
                <w:szCs w:val="24"/>
                <w:lang w:val="en-GB"/>
              </w:rPr>
              <w:t>’</w:t>
            </w:r>
            <w:r w:rsidR="006327BA">
              <w:rPr>
                <w:rStyle w:val="FootnoteReference"/>
                <w:rFonts w:ascii="Times New Roman" w:hAnsi="Times New Roman"/>
                <w:sz w:val="24"/>
                <w:szCs w:val="24"/>
                <w:lang w:val="en-GB"/>
              </w:rPr>
              <w:footnoteReference w:id="38"/>
            </w:r>
            <w:r w:rsidR="006327BA">
              <w:rPr>
                <w:rFonts w:ascii="Times New Roman" w:hAnsi="Times New Roman"/>
                <w:sz w:val="24"/>
                <w:szCs w:val="24"/>
                <w:lang w:val="en-GB"/>
              </w:rPr>
              <w:t xml:space="preserve"> and </w:t>
            </w:r>
            <w:r w:rsidR="00EE0BA1">
              <w:rPr>
                <w:rFonts w:ascii="Times New Roman" w:hAnsi="Times New Roman"/>
                <w:sz w:val="24"/>
                <w:szCs w:val="24"/>
                <w:lang w:val="en-GB"/>
              </w:rPr>
              <w:t>‘</w:t>
            </w:r>
            <w:r w:rsidR="006327BA" w:rsidRPr="00760F3B">
              <w:rPr>
                <w:rFonts w:ascii="Times New Roman" w:hAnsi="Times New Roman"/>
                <w:sz w:val="24"/>
                <w:szCs w:val="24"/>
                <w:lang w:val="en-GB"/>
              </w:rPr>
              <w:t>E-money card – accepting terminals</w:t>
            </w:r>
            <w:r w:rsidR="00EE0BA1">
              <w:rPr>
                <w:rFonts w:ascii="Times New Roman" w:hAnsi="Times New Roman"/>
                <w:sz w:val="24"/>
                <w:szCs w:val="24"/>
                <w:lang w:val="en-GB"/>
              </w:rPr>
              <w:t>’</w:t>
            </w:r>
            <w:r w:rsidR="006327BA">
              <w:rPr>
                <w:rStyle w:val="FootnoteReference"/>
                <w:rFonts w:ascii="Times New Roman" w:hAnsi="Times New Roman"/>
                <w:sz w:val="24"/>
                <w:szCs w:val="24"/>
                <w:lang w:val="en-GB"/>
              </w:rPr>
              <w:footnoteReference w:id="39"/>
            </w:r>
            <w:r w:rsidR="007E766F">
              <w:rPr>
                <w:rFonts w:ascii="Times New Roman" w:hAnsi="Times New Roman"/>
                <w:sz w:val="24"/>
                <w:szCs w:val="24"/>
                <w:lang w:val="en-GB"/>
              </w:rPr>
              <w:t xml:space="preserve">. These </w:t>
            </w:r>
            <w:r w:rsidR="007E766F" w:rsidRPr="00196025">
              <w:rPr>
                <w:rFonts w:ascii="Times New Roman" w:hAnsi="Times New Roman"/>
                <w:sz w:val="24"/>
                <w:szCs w:val="24"/>
                <w:lang w:val="en-GB"/>
              </w:rPr>
              <w:t>subcategories are not mutually exclusive</w:t>
            </w:r>
            <w:r w:rsidR="007E766F">
              <w:rPr>
                <w:rFonts w:ascii="Times New Roman" w:hAnsi="Times New Roman"/>
                <w:sz w:val="24"/>
                <w:szCs w:val="24"/>
                <w:lang w:val="en-GB"/>
              </w:rPr>
              <w:t xml:space="preserve">. </w:t>
            </w:r>
          </w:p>
        </w:tc>
      </w:tr>
    </w:tbl>
    <w:p w14:paraId="46C13D81" w14:textId="77777777" w:rsidR="00F40693" w:rsidRDefault="00F40693" w:rsidP="00F40693">
      <w:pPr>
        <w:rPr>
          <w:lang w:val="en-GB"/>
        </w:rPr>
      </w:pPr>
      <w:bookmarkStart w:id="28" w:name="_Table_4a:_Payment"/>
      <w:bookmarkEnd w:id="28"/>
    </w:p>
    <w:p w14:paraId="7E614F75" w14:textId="77777777" w:rsidR="00F40693" w:rsidRDefault="00F40693" w:rsidP="00F40693">
      <w:pPr>
        <w:rPr>
          <w:rFonts w:eastAsiaTheme="majorEastAsia"/>
          <w:lang w:val="en-GB"/>
        </w:rPr>
      </w:pPr>
    </w:p>
    <w:p w14:paraId="76323449" w14:textId="0C9893F4" w:rsidR="00591697" w:rsidRPr="004E34FF" w:rsidRDefault="00591697" w:rsidP="006625A4">
      <w:pPr>
        <w:pStyle w:val="Heading4"/>
        <w:numPr>
          <w:ilvl w:val="0"/>
          <w:numId w:val="34"/>
        </w:numPr>
        <w:rPr>
          <w:rFonts w:ascii="Times New Roman" w:hAnsi="Times New Roman" w:cs="Times New Roman"/>
          <w:color w:val="003199"/>
          <w:lang w:val="en-GB"/>
        </w:rPr>
      </w:pPr>
      <w:bookmarkStart w:id="29" w:name="_Table_4a:_Payment_1"/>
      <w:bookmarkEnd w:id="29"/>
      <w:r w:rsidRPr="004E34FF">
        <w:rPr>
          <w:rFonts w:ascii="Times New Roman" w:hAnsi="Times New Roman" w:cs="Times New Roman"/>
          <w:color w:val="003199"/>
          <w:lang w:val="en-GB"/>
        </w:rPr>
        <w:t>Table 4a: Payment transactions involving non-MFIs</w:t>
      </w:r>
      <w:r w:rsidR="00D339E0" w:rsidRPr="00D339E0">
        <w:rPr>
          <w:rFonts w:ascii="Times New Roman" w:hAnsi="Times New Roman"/>
          <w:vertAlign w:val="superscript"/>
          <w:lang w:val="en-GB"/>
        </w:rPr>
        <w:fldChar w:fldCharType="begin"/>
      </w:r>
      <w:r w:rsidR="00D339E0" w:rsidRPr="00D339E0">
        <w:rPr>
          <w:rFonts w:ascii="Times New Roman" w:hAnsi="Times New Roman"/>
          <w:vertAlign w:val="superscript"/>
          <w:lang w:val="en-GB"/>
        </w:rPr>
        <w:instrText xml:space="preserve"> NOTEREF _Ref88719588 \h </w:instrText>
      </w:r>
      <w:r w:rsidR="00D339E0">
        <w:rPr>
          <w:rFonts w:ascii="Times New Roman" w:hAnsi="Times New Roman"/>
          <w:vertAlign w:val="superscript"/>
          <w:lang w:val="en-GB"/>
        </w:rPr>
        <w:instrText xml:space="preserve"> \* MERGEFORMAT </w:instrText>
      </w:r>
      <w:r w:rsidR="00D339E0" w:rsidRPr="00D339E0">
        <w:rPr>
          <w:rFonts w:ascii="Times New Roman" w:hAnsi="Times New Roman"/>
          <w:vertAlign w:val="superscript"/>
          <w:lang w:val="en-GB"/>
        </w:rPr>
      </w:r>
      <w:r w:rsidR="00D339E0" w:rsidRPr="00D339E0">
        <w:rPr>
          <w:rFonts w:ascii="Times New Roman" w:hAnsi="Times New Roman"/>
          <w:vertAlign w:val="superscript"/>
          <w:lang w:val="en-GB"/>
        </w:rPr>
        <w:fldChar w:fldCharType="separate"/>
      </w:r>
      <w:r w:rsidR="00F53249">
        <w:rPr>
          <w:rFonts w:ascii="Times New Roman" w:hAnsi="Times New Roman"/>
          <w:vertAlign w:val="superscript"/>
          <w:lang w:val="en-GB"/>
        </w:rPr>
        <w:t>2</w:t>
      </w:r>
      <w:r w:rsidR="00D339E0" w:rsidRPr="00D339E0">
        <w:rPr>
          <w:rFonts w:ascii="Times New Roman" w:hAnsi="Times New Roman"/>
          <w:vertAlign w:val="superscript"/>
          <w:lang w:val="en-GB"/>
        </w:rPr>
        <w:fldChar w:fldCharType="end"/>
      </w:r>
      <w:r w:rsidR="000F1F24">
        <w:rPr>
          <w:rFonts w:ascii="Times New Roman" w:hAnsi="Times New Roman"/>
          <w:vertAlign w:val="superscript"/>
          <w:lang w:val="en-GB"/>
        </w:rPr>
        <w:t xml:space="preserve">  </w:t>
      </w:r>
      <w:r w:rsidR="000F1F24" w:rsidRPr="00284306">
        <w:rPr>
          <w:rFonts w:ascii="Times New Roman" w:hAnsi="Times New Roman" w:cs="Times New Roman"/>
          <w:i w:val="0"/>
          <w:color w:val="ED7D31" w:themeColor="accent2"/>
          <w:lang w:val="en-GB"/>
        </w:rPr>
        <w:t>(refers to worksheets 5-12</w:t>
      </w:r>
      <w:r w:rsidR="00284306">
        <w:rPr>
          <w:rFonts w:ascii="Times New Roman" w:hAnsi="Times New Roman" w:cs="Times New Roman"/>
          <w:i w:val="0"/>
          <w:color w:val="ED7D31" w:themeColor="accent2"/>
          <w:lang w:val="en-GB"/>
        </w:rPr>
        <w:t>.6</w:t>
      </w:r>
      <w:r w:rsidR="000F1F24" w:rsidRPr="00284306">
        <w:rPr>
          <w:rFonts w:ascii="Times New Roman" w:hAnsi="Times New Roman" w:cs="Times New Roman"/>
          <w:i w:val="0"/>
          <w:color w:val="ED7D31" w:themeColor="accent2"/>
          <w:lang w:val="en-GB"/>
        </w:rPr>
        <w:t>)</w:t>
      </w:r>
      <w:r w:rsidR="000F1F24" w:rsidRPr="00284306">
        <w:rPr>
          <w:rFonts w:ascii="Times New Roman" w:hAnsi="Times New Roman"/>
          <w:color w:val="ED7D31" w:themeColor="accent2"/>
          <w:vertAlign w:val="superscript"/>
          <w:lang w:val="en-GB"/>
        </w:rPr>
        <w:t xml:space="preserve"> </w:t>
      </w:r>
    </w:p>
    <w:p w14:paraId="7F0CCD3A" w14:textId="3C0BFDB2" w:rsidR="00171C79" w:rsidRDefault="00A03860" w:rsidP="00760F3B">
      <w:pPr>
        <w:spacing w:before="120" w:after="240" w:line="360" w:lineRule="auto"/>
        <w:jc w:val="both"/>
        <w:rPr>
          <w:rFonts w:ascii="Times New Roman" w:hAnsi="Times New Roman"/>
          <w:sz w:val="24"/>
          <w:szCs w:val="24"/>
          <w:lang w:val="en-GB"/>
        </w:rPr>
      </w:pPr>
      <w:r w:rsidRPr="00030FC1">
        <w:rPr>
          <w:rFonts w:ascii="Times New Roman" w:hAnsi="Times New Roman"/>
          <w:sz w:val="24"/>
          <w:szCs w:val="24"/>
          <w:lang w:val="en-GB"/>
        </w:rPr>
        <w:t>All indicators in this table refer to</w:t>
      </w:r>
      <w:r w:rsidR="00171C79">
        <w:rPr>
          <w:rFonts w:ascii="Times New Roman" w:hAnsi="Times New Roman"/>
          <w:sz w:val="24"/>
          <w:szCs w:val="24"/>
          <w:lang w:val="en-GB"/>
        </w:rPr>
        <w:t xml:space="preserve"> p</w:t>
      </w:r>
      <w:r w:rsidR="00171C79" w:rsidRPr="00171C79">
        <w:rPr>
          <w:rFonts w:ascii="Times New Roman" w:hAnsi="Times New Roman"/>
          <w:sz w:val="24"/>
          <w:szCs w:val="24"/>
          <w:lang w:val="en-GB"/>
        </w:rPr>
        <w:t>ayment transactions</w:t>
      </w:r>
      <w:r w:rsidR="006C112C">
        <w:rPr>
          <w:rStyle w:val="FootnoteReference"/>
          <w:rFonts w:ascii="Times New Roman" w:hAnsi="Times New Roman"/>
          <w:sz w:val="24"/>
          <w:szCs w:val="24"/>
          <w:lang w:val="en-GB"/>
        </w:rPr>
        <w:footnoteReference w:id="40"/>
      </w:r>
      <w:r w:rsidR="00171C79" w:rsidRPr="00171C79">
        <w:rPr>
          <w:rFonts w:ascii="Times New Roman" w:hAnsi="Times New Roman"/>
          <w:sz w:val="24"/>
          <w:szCs w:val="24"/>
          <w:lang w:val="en-GB"/>
        </w:rPr>
        <w:t xml:space="preserve"> initiated by non-MFIs to any counterparty or by PSPs if the counterparty is a non-MFI</w:t>
      </w:r>
      <w:r w:rsidR="002B0A14">
        <w:rPr>
          <w:rFonts w:ascii="Times New Roman" w:hAnsi="Times New Roman"/>
          <w:sz w:val="24"/>
          <w:szCs w:val="24"/>
          <w:lang w:val="en-GB"/>
        </w:rPr>
        <w:t xml:space="preserve"> (i.e. a</w:t>
      </w:r>
      <w:r w:rsidR="002B0A14" w:rsidRPr="002B0A14">
        <w:rPr>
          <w:rFonts w:ascii="Times New Roman" w:hAnsi="Times New Roman"/>
          <w:sz w:val="24"/>
          <w:szCs w:val="24"/>
          <w:lang w:val="en-GB"/>
        </w:rPr>
        <w:t xml:space="preserve"> payment transaction involving </w:t>
      </w:r>
      <w:r w:rsidR="000D5EAA">
        <w:rPr>
          <w:rFonts w:ascii="Times New Roman" w:hAnsi="Times New Roman"/>
          <w:sz w:val="24"/>
          <w:szCs w:val="24"/>
          <w:lang w:val="en-GB"/>
        </w:rPr>
        <w:t>non-</w:t>
      </w:r>
      <w:r w:rsidR="008F48A9">
        <w:rPr>
          <w:rFonts w:ascii="Times New Roman" w:hAnsi="Times New Roman"/>
          <w:sz w:val="24"/>
          <w:szCs w:val="24"/>
          <w:lang w:val="en-GB"/>
        </w:rPr>
        <w:t>PSP</w:t>
      </w:r>
      <w:r w:rsidR="002B0A14" w:rsidRPr="002B0A14">
        <w:rPr>
          <w:rFonts w:ascii="Times New Roman" w:hAnsi="Times New Roman"/>
          <w:sz w:val="24"/>
          <w:szCs w:val="24"/>
          <w:lang w:val="en-GB"/>
        </w:rPr>
        <w:t xml:space="preserve"> on either one or both ends of a transaction</w:t>
      </w:r>
      <w:r w:rsidR="002B0A14">
        <w:rPr>
          <w:rFonts w:ascii="Times New Roman" w:hAnsi="Times New Roman"/>
          <w:sz w:val="24"/>
          <w:szCs w:val="24"/>
          <w:lang w:val="en-GB"/>
        </w:rPr>
        <w:t>)</w:t>
      </w:r>
      <w:r w:rsidR="00171C79" w:rsidRPr="00171C79">
        <w:rPr>
          <w:rFonts w:ascii="Times New Roman" w:hAnsi="Times New Roman"/>
          <w:sz w:val="24"/>
          <w:szCs w:val="24"/>
          <w:lang w:val="en-GB"/>
        </w:rPr>
        <w:t>.</w:t>
      </w:r>
      <w:r w:rsidR="00BA07FC">
        <w:rPr>
          <w:rFonts w:ascii="Times New Roman" w:hAnsi="Times New Roman"/>
          <w:sz w:val="24"/>
          <w:szCs w:val="24"/>
          <w:lang w:val="en-GB"/>
        </w:rPr>
        <w:t xml:space="preserve"> </w:t>
      </w:r>
      <w:proofErr w:type="gramStart"/>
      <w:r w:rsidR="00BA07FC" w:rsidRPr="00BA07FC">
        <w:rPr>
          <w:rFonts w:ascii="Times New Roman" w:hAnsi="Times New Roman"/>
          <w:sz w:val="24"/>
          <w:szCs w:val="24"/>
          <w:lang w:val="en-GB"/>
        </w:rPr>
        <w:t>For the purpose of</w:t>
      </w:r>
      <w:proofErr w:type="gramEnd"/>
      <w:r w:rsidR="00BA07FC" w:rsidRPr="00BA07FC">
        <w:rPr>
          <w:rFonts w:ascii="Times New Roman" w:hAnsi="Times New Roman"/>
          <w:sz w:val="24"/>
          <w:szCs w:val="24"/>
          <w:lang w:val="en-GB"/>
        </w:rPr>
        <w:t xml:space="preserve"> payments statistics, all PSPs are excluded from the ‘non-MFIs’ sector</w:t>
      </w:r>
      <w:r w:rsidR="00BA07FC">
        <w:rPr>
          <w:rFonts w:ascii="Times New Roman" w:hAnsi="Times New Roman"/>
          <w:sz w:val="24"/>
          <w:szCs w:val="24"/>
          <w:lang w:val="en-GB"/>
        </w:rPr>
        <w:t>.</w:t>
      </w:r>
      <w:r w:rsidR="00171C79" w:rsidRPr="00171C79">
        <w:rPr>
          <w:rFonts w:ascii="Times New Roman" w:hAnsi="Times New Roman"/>
          <w:sz w:val="24"/>
          <w:szCs w:val="24"/>
          <w:lang w:val="en-GB"/>
        </w:rPr>
        <w:t xml:space="preserve"> This includes: (a) payment transactions which take place between two accounts held at different PSPs and which are executed with the use of an intermediary, i.e. where payments are sent to another PSP or to a payment system; and (b) payment transactions which take place between two accounts held at the same PSP, e.g. on-us transactions, with the transaction being settled either on the accounts of the PSP itself, or with the use of an intermediary, i.e. another PSP or a payment system. </w:t>
      </w:r>
    </w:p>
    <w:p w14:paraId="292A1BE3" w14:textId="008CB925" w:rsidR="00D748A9" w:rsidRDefault="00657AE8" w:rsidP="00657AE8">
      <w:pPr>
        <w:spacing w:before="120" w:after="240" w:line="360" w:lineRule="auto"/>
        <w:jc w:val="both"/>
        <w:rPr>
          <w:rFonts w:ascii="Times New Roman" w:hAnsi="Times New Roman"/>
          <w:sz w:val="24"/>
          <w:szCs w:val="24"/>
          <w:lang w:val="en-GB"/>
        </w:rPr>
      </w:pPr>
      <w:r w:rsidRPr="00171C79">
        <w:rPr>
          <w:rFonts w:ascii="Times New Roman" w:hAnsi="Times New Roman"/>
          <w:sz w:val="24"/>
          <w:szCs w:val="24"/>
          <w:lang w:val="en-GB"/>
        </w:rPr>
        <w:t>Payment transactions are broken down by payment service used and by the scheme processing the transaction</w:t>
      </w:r>
      <w:r>
        <w:rPr>
          <w:rFonts w:ascii="Times New Roman" w:hAnsi="Times New Roman"/>
          <w:sz w:val="24"/>
          <w:szCs w:val="24"/>
          <w:lang w:val="en-GB"/>
        </w:rPr>
        <w:t xml:space="preserve">. </w:t>
      </w:r>
      <w:r w:rsidRPr="00171C79">
        <w:rPr>
          <w:rFonts w:ascii="Times New Roman" w:hAnsi="Times New Roman"/>
          <w:sz w:val="24"/>
          <w:szCs w:val="24"/>
          <w:lang w:val="en-GB"/>
        </w:rPr>
        <w:t>Separate reporting for remote and non-remote transactions is indicated where necessary.</w:t>
      </w:r>
      <w:r w:rsidR="00046D76">
        <w:rPr>
          <w:rFonts w:ascii="Times New Roman" w:hAnsi="Times New Roman"/>
          <w:sz w:val="24"/>
          <w:szCs w:val="24"/>
          <w:lang w:val="en-GB"/>
        </w:rPr>
        <w:t xml:space="preserve"> </w:t>
      </w:r>
      <w:r w:rsidR="00046D76" w:rsidRPr="007D23A6">
        <w:rPr>
          <w:rFonts w:ascii="Times New Roman" w:hAnsi="Times New Roman"/>
          <w:sz w:val="24"/>
          <w:szCs w:val="24"/>
          <w:lang w:val="en-GB"/>
        </w:rPr>
        <w:t>The geographical breakdown is based on the</w:t>
      </w:r>
      <w:r w:rsidR="00046D76" w:rsidRPr="00760F3B">
        <w:rPr>
          <w:rFonts w:ascii="Times New Roman" w:hAnsi="Times New Roman"/>
          <w:b/>
          <w:color w:val="003199"/>
          <w:sz w:val="24"/>
          <w:szCs w:val="24"/>
          <w:lang w:val="en-GB"/>
        </w:rPr>
        <w:t xml:space="preserve"> location of the </w:t>
      </w:r>
      <w:r w:rsidR="00046D76">
        <w:rPr>
          <w:rFonts w:ascii="Times New Roman" w:hAnsi="Times New Roman"/>
          <w:b/>
          <w:color w:val="003199"/>
          <w:sz w:val="24"/>
          <w:szCs w:val="24"/>
          <w:lang w:val="en-GB"/>
        </w:rPr>
        <w:t>counterparty</w:t>
      </w:r>
      <w:r w:rsidR="00E47F7B">
        <w:rPr>
          <w:rStyle w:val="FootnoteReference"/>
          <w:rFonts w:ascii="Times New Roman" w:hAnsi="Times New Roman"/>
          <w:b/>
          <w:color w:val="003199"/>
          <w:sz w:val="24"/>
          <w:szCs w:val="24"/>
          <w:lang w:val="en-GB"/>
        </w:rPr>
        <w:footnoteReference w:id="41"/>
      </w:r>
      <w:r w:rsidR="007D23A6">
        <w:rPr>
          <w:rFonts w:ascii="Times New Roman" w:hAnsi="Times New Roman"/>
          <w:b/>
          <w:color w:val="003199"/>
          <w:sz w:val="24"/>
          <w:szCs w:val="24"/>
          <w:lang w:val="en-GB"/>
        </w:rPr>
        <w:t xml:space="preserve"> </w:t>
      </w:r>
      <w:r w:rsidR="007D23A6" w:rsidRPr="00760F3B">
        <w:rPr>
          <w:rFonts w:ascii="Times New Roman" w:hAnsi="Times New Roman"/>
          <w:sz w:val="24"/>
          <w:szCs w:val="24"/>
          <w:lang w:val="en-GB"/>
        </w:rPr>
        <w:t>in each individual EEA member, with a separate total for countries outside the EEA.</w:t>
      </w:r>
      <w:r w:rsidR="00D748A9">
        <w:rPr>
          <w:rFonts w:ascii="Times New Roman" w:hAnsi="Times New Roman"/>
          <w:sz w:val="24"/>
          <w:szCs w:val="24"/>
          <w:lang w:val="en-GB"/>
        </w:rPr>
        <w:t xml:space="preserve"> </w:t>
      </w:r>
      <w:r w:rsidR="00D748A9" w:rsidRPr="00104C73">
        <w:rPr>
          <w:rFonts w:ascii="Times New Roman" w:hAnsi="Times New Roman"/>
          <w:b/>
          <w:color w:val="003199"/>
          <w:sz w:val="24"/>
          <w:szCs w:val="24"/>
          <w:lang w:val="en-GB"/>
        </w:rPr>
        <w:t>For card-based payment transactions</w:t>
      </w:r>
      <w:r w:rsidR="00104C73" w:rsidRPr="00104C73">
        <w:rPr>
          <w:rFonts w:ascii="Times New Roman" w:hAnsi="Times New Roman"/>
          <w:b/>
          <w:color w:val="003199"/>
          <w:sz w:val="24"/>
          <w:szCs w:val="24"/>
          <w:lang w:val="en-GB"/>
        </w:rPr>
        <w:t xml:space="preserve"> </w:t>
      </w:r>
      <w:r w:rsidR="00104C73" w:rsidRPr="00104C73">
        <w:rPr>
          <w:rFonts w:ascii="Times New Roman" w:hAnsi="Times New Roman"/>
          <w:b/>
          <w:color w:val="003199"/>
          <w:sz w:val="24"/>
          <w:szCs w:val="24"/>
          <w:lang w:val="en-GB"/>
        </w:rPr>
        <w:lastRenderedPageBreak/>
        <w:t>and cash withdrawals</w:t>
      </w:r>
      <w:r w:rsidR="00D748A9" w:rsidRPr="00104C73">
        <w:rPr>
          <w:rFonts w:ascii="Times New Roman" w:hAnsi="Times New Roman"/>
          <w:b/>
          <w:color w:val="003199"/>
          <w:sz w:val="24"/>
          <w:szCs w:val="24"/>
          <w:lang w:val="en-GB"/>
        </w:rPr>
        <w:t>, the residency of the counterparty</w:t>
      </w:r>
      <w:r w:rsidR="00E47F7B" w:rsidRPr="003D13BB">
        <w:rPr>
          <w:rStyle w:val="FootnoteReference"/>
          <w:rFonts w:ascii="Times New Roman" w:hAnsi="Times New Roman"/>
          <w:b/>
          <w:color w:val="003199"/>
          <w:sz w:val="24"/>
          <w:szCs w:val="24"/>
          <w:lang w:val="en-GB"/>
        </w:rPr>
        <w:footnoteReference w:id="42"/>
      </w:r>
      <w:r w:rsidR="00D748A9" w:rsidRPr="00E5460E">
        <w:rPr>
          <w:rStyle w:val="FootnoteReference"/>
          <w:lang w:val="en-GB"/>
        </w:rPr>
        <w:t xml:space="preserve"> </w:t>
      </w:r>
      <w:r w:rsidR="00D748A9" w:rsidRPr="00104C73">
        <w:rPr>
          <w:rFonts w:ascii="Times New Roman" w:hAnsi="Times New Roman"/>
          <w:b/>
          <w:color w:val="003199"/>
          <w:sz w:val="24"/>
          <w:szCs w:val="24"/>
          <w:lang w:val="en-GB"/>
        </w:rPr>
        <w:t>and the location of the POS</w:t>
      </w:r>
      <w:r w:rsidR="00EF0B3C">
        <w:rPr>
          <w:rStyle w:val="FootnoteReference"/>
          <w:rFonts w:ascii="Times New Roman" w:hAnsi="Times New Roman"/>
          <w:b/>
          <w:color w:val="003199"/>
          <w:sz w:val="24"/>
          <w:szCs w:val="24"/>
          <w:lang w:val="en-GB"/>
        </w:rPr>
        <w:fldChar w:fldCharType="begin"/>
      </w:r>
      <w:r w:rsidR="00EF0B3C" w:rsidRPr="00EF0B3C">
        <w:rPr>
          <w:rStyle w:val="FootnoteReference"/>
          <w:rFonts w:ascii="Times New Roman" w:hAnsi="Times New Roman"/>
          <w:b/>
          <w:color w:val="003199"/>
          <w:sz w:val="24"/>
          <w:szCs w:val="24"/>
          <w:lang w:val="en-GB"/>
        </w:rPr>
        <w:instrText xml:space="preserve"> NOTEREF _Ref76719857 \h </w:instrText>
      </w:r>
      <w:r w:rsidR="00EF0B3C">
        <w:rPr>
          <w:rStyle w:val="FootnoteReference"/>
          <w:rFonts w:ascii="Times New Roman" w:hAnsi="Times New Roman"/>
          <w:b/>
          <w:color w:val="003199"/>
          <w:sz w:val="24"/>
          <w:szCs w:val="24"/>
          <w:lang w:val="en-GB"/>
        </w:rPr>
        <w:instrText xml:space="preserve"> \* MERGEFORMAT </w:instrText>
      </w:r>
      <w:r w:rsidR="00EF0B3C">
        <w:rPr>
          <w:rStyle w:val="FootnoteReference"/>
          <w:rFonts w:ascii="Times New Roman" w:hAnsi="Times New Roman"/>
          <w:b/>
          <w:color w:val="003199"/>
          <w:sz w:val="24"/>
          <w:szCs w:val="24"/>
          <w:lang w:val="en-GB"/>
        </w:rPr>
      </w:r>
      <w:r w:rsidR="00EF0B3C">
        <w:rPr>
          <w:rStyle w:val="FootnoteReference"/>
          <w:rFonts w:ascii="Times New Roman" w:hAnsi="Times New Roman"/>
          <w:b/>
          <w:color w:val="003199"/>
          <w:sz w:val="24"/>
          <w:szCs w:val="24"/>
          <w:lang w:val="en-GB"/>
        </w:rPr>
        <w:fldChar w:fldCharType="separate"/>
      </w:r>
      <w:r w:rsidR="00F53249">
        <w:rPr>
          <w:rStyle w:val="FootnoteReference"/>
          <w:rFonts w:ascii="Times New Roman" w:hAnsi="Times New Roman"/>
          <w:b/>
          <w:color w:val="003199"/>
          <w:sz w:val="24"/>
          <w:szCs w:val="24"/>
          <w:lang w:val="en-GB"/>
        </w:rPr>
        <w:t>101</w:t>
      </w:r>
      <w:r w:rsidR="00EF0B3C">
        <w:rPr>
          <w:rStyle w:val="FootnoteReference"/>
          <w:rFonts w:ascii="Times New Roman" w:hAnsi="Times New Roman"/>
          <w:b/>
          <w:color w:val="003199"/>
          <w:sz w:val="24"/>
          <w:szCs w:val="24"/>
          <w:lang w:val="en-GB"/>
        </w:rPr>
        <w:fldChar w:fldCharType="end"/>
      </w:r>
      <w:r w:rsidR="00D748A9" w:rsidRPr="00AE0038">
        <w:rPr>
          <w:rStyle w:val="FootnoteReference"/>
          <w:lang w:val="en-GB"/>
        </w:rPr>
        <w:t xml:space="preserve"> </w:t>
      </w:r>
      <w:r w:rsidR="00D748A9" w:rsidRPr="00104C73">
        <w:rPr>
          <w:rFonts w:ascii="Times New Roman" w:hAnsi="Times New Roman"/>
          <w:b/>
          <w:color w:val="003199"/>
          <w:sz w:val="24"/>
          <w:szCs w:val="24"/>
          <w:lang w:val="en-GB"/>
        </w:rPr>
        <w:t xml:space="preserve">are reported together. </w:t>
      </w:r>
    </w:p>
    <w:p w14:paraId="4F7CAA02" w14:textId="77777777" w:rsidR="001F1C15" w:rsidRPr="001F1C15" w:rsidRDefault="001F1C15" w:rsidP="00760F3B">
      <w:pPr>
        <w:spacing w:before="120" w:after="240" w:line="360" w:lineRule="auto"/>
        <w:jc w:val="both"/>
        <w:rPr>
          <w:rFonts w:ascii="Times New Roman" w:hAnsi="Times New Roman"/>
          <w:sz w:val="24"/>
          <w:szCs w:val="24"/>
          <w:lang w:val="en-GB"/>
        </w:rPr>
      </w:pPr>
      <w:r w:rsidRPr="001F1C15">
        <w:rPr>
          <w:rFonts w:ascii="Times New Roman" w:hAnsi="Times New Roman"/>
          <w:sz w:val="24"/>
          <w:szCs w:val="24"/>
          <w:lang w:val="en-GB"/>
        </w:rPr>
        <w:t xml:space="preserve">The direction of the flow of funds depends on the payment service and the initiation channel used: </w:t>
      </w:r>
    </w:p>
    <w:p w14:paraId="7C92E0B2" w14:textId="77777777" w:rsidR="001F1C15" w:rsidRPr="001F1C15" w:rsidRDefault="001F1C15" w:rsidP="001F1C15">
      <w:pPr>
        <w:pStyle w:val="ListParagraph"/>
        <w:numPr>
          <w:ilvl w:val="1"/>
          <w:numId w:val="18"/>
        </w:numPr>
        <w:spacing w:before="120" w:after="240" w:line="360" w:lineRule="auto"/>
        <w:jc w:val="both"/>
        <w:rPr>
          <w:rFonts w:ascii="Times New Roman" w:hAnsi="Times New Roman"/>
          <w:sz w:val="24"/>
          <w:szCs w:val="24"/>
          <w:lang w:val="en-GB"/>
        </w:rPr>
      </w:pPr>
      <w:r w:rsidRPr="001F1C15">
        <w:rPr>
          <w:rFonts w:ascii="Times New Roman" w:hAnsi="Times New Roman"/>
          <w:sz w:val="24"/>
          <w:szCs w:val="24"/>
          <w:lang w:val="en-GB"/>
        </w:rPr>
        <w:t xml:space="preserve">for credit transfers, money remittances, e-money payments and similar transactions where the payer initiates the transaction, the sending participant is also the sender of funds and the receiving participant the recipient of </w:t>
      </w:r>
      <w:proofErr w:type="gramStart"/>
      <w:r w:rsidRPr="001F1C15">
        <w:rPr>
          <w:rFonts w:ascii="Times New Roman" w:hAnsi="Times New Roman"/>
          <w:sz w:val="24"/>
          <w:szCs w:val="24"/>
          <w:lang w:val="en-GB"/>
        </w:rPr>
        <w:t>funds;</w:t>
      </w:r>
      <w:proofErr w:type="gramEnd"/>
      <w:r w:rsidRPr="001F1C15">
        <w:rPr>
          <w:rFonts w:ascii="Times New Roman" w:hAnsi="Times New Roman"/>
          <w:sz w:val="24"/>
          <w:szCs w:val="24"/>
          <w:lang w:val="en-GB"/>
        </w:rPr>
        <w:t xml:space="preserve"> </w:t>
      </w:r>
    </w:p>
    <w:p w14:paraId="29C301EE" w14:textId="77777777" w:rsidR="001F1C15" w:rsidRPr="001F1C15" w:rsidRDefault="001F1C15" w:rsidP="001F1C15">
      <w:pPr>
        <w:pStyle w:val="ListParagraph"/>
        <w:numPr>
          <w:ilvl w:val="1"/>
          <w:numId w:val="18"/>
        </w:numPr>
        <w:spacing w:before="120" w:after="240" w:line="360" w:lineRule="auto"/>
        <w:jc w:val="both"/>
        <w:rPr>
          <w:rFonts w:ascii="Times New Roman" w:hAnsi="Times New Roman"/>
          <w:sz w:val="24"/>
          <w:szCs w:val="24"/>
          <w:lang w:val="en-GB"/>
        </w:rPr>
      </w:pPr>
      <w:r w:rsidRPr="001F1C15">
        <w:rPr>
          <w:rFonts w:ascii="Times New Roman" w:hAnsi="Times New Roman"/>
          <w:sz w:val="24"/>
          <w:szCs w:val="24"/>
          <w:lang w:val="en-GB"/>
        </w:rPr>
        <w:t xml:space="preserve">for direct debits, cheques, e-money payments and similar transactions where the payee initiates the transaction, the sending participant is the recipient of funds and the receiving participant the sender of </w:t>
      </w:r>
      <w:proofErr w:type="gramStart"/>
      <w:r w:rsidRPr="001F1C15">
        <w:rPr>
          <w:rFonts w:ascii="Times New Roman" w:hAnsi="Times New Roman"/>
          <w:sz w:val="24"/>
          <w:szCs w:val="24"/>
          <w:lang w:val="en-GB"/>
        </w:rPr>
        <w:t>funds;</w:t>
      </w:r>
      <w:proofErr w:type="gramEnd"/>
      <w:r w:rsidRPr="001F1C15">
        <w:rPr>
          <w:rFonts w:ascii="Times New Roman" w:hAnsi="Times New Roman"/>
          <w:sz w:val="24"/>
          <w:szCs w:val="24"/>
          <w:lang w:val="en-GB"/>
        </w:rPr>
        <w:t xml:space="preserve"> </w:t>
      </w:r>
    </w:p>
    <w:p w14:paraId="392DC547" w14:textId="77777777" w:rsidR="001F1C15" w:rsidRDefault="001F1C15" w:rsidP="001F1C15">
      <w:pPr>
        <w:pStyle w:val="ListParagraph"/>
        <w:numPr>
          <w:ilvl w:val="1"/>
          <w:numId w:val="18"/>
        </w:numPr>
        <w:spacing w:before="120" w:after="240" w:line="360" w:lineRule="auto"/>
        <w:jc w:val="both"/>
        <w:rPr>
          <w:rFonts w:ascii="Times New Roman" w:hAnsi="Times New Roman"/>
          <w:sz w:val="24"/>
          <w:szCs w:val="24"/>
          <w:lang w:val="en-GB"/>
        </w:rPr>
      </w:pPr>
      <w:r w:rsidRPr="001F1C15">
        <w:rPr>
          <w:rFonts w:ascii="Times New Roman" w:hAnsi="Times New Roman"/>
          <w:sz w:val="24"/>
          <w:szCs w:val="24"/>
          <w:lang w:val="en-GB"/>
        </w:rPr>
        <w:t>for card-based payment transactions, although the payee initiates the transaction, the treatment followed within this Regulation corresponds to that where the payer initiates the transaction.</w:t>
      </w:r>
    </w:p>
    <w:p w14:paraId="2BF60904" w14:textId="77777777" w:rsidR="002E4DF4" w:rsidRPr="002E4DF4" w:rsidRDefault="002E4DF4" w:rsidP="002E4DF4">
      <w:pPr>
        <w:spacing w:before="120" w:after="240" w:line="360" w:lineRule="auto"/>
        <w:jc w:val="both"/>
        <w:rPr>
          <w:rFonts w:ascii="Times New Roman" w:hAnsi="Times New Roman"/>
          <w:sz w:val="24"/>
          <w:szCs w:val="24"/>
          <w:lang w:val="en-GB"/>
        </w:rPr>
      </w:pPr>
      <w:r>
        <w:rPr>
          <w:rFonts w:ascii="Times New Roman" w:hAnsi="Times New Roman"/>
          <w:sz w:val="24"/>
          <w:szCs w:val="24"/>
          <w:lang w:val="en-GB"/>
        </w:rPr>
        <w:t xml:space="preserve">Figure 3 provides a simplified overview of the flow of transactions </w:t>
      </w:r>
      <w:r w:rsidR="00A96515">
        <w:rPr>
          <w:rFonts w:ascii="Times New Roman" w:hAnsi="Times New Roman"/>
          <w:sz w:val="24"/>
          <w:szCs w:val="24"/>
          <w:lang w:val="en-GB"/>
        </w:rPr>
        <w:t>concerning</w:t>
      </w:r>
      <w:r>
        <w:rPr>
          <w:rFonts w:ascii="Times New Roman" w:hAnsi="Times New Roman"/>
          <w:sz w:val="24"/>
          <w:szCs w:val="24"/>
          <w:lang w:val="en-GB"/>
        </w:rPr>
        <w:t xml:space="preserve"> ‘Payment </w:t>
      </w:r>
      <w:proofErr w:type="spellStart"/>
      <w:r>
        <w:rPr>
          <w:rFonts w:ascii="Times New Roman" w:hAnsi="Times New Roman"/>
          <w:sz w:val="24"/>
          <w:szCs w:val="24"/>
          <w:lang w:val="en-GB"/>
        </w:rPr>
        <w:t>transactions_sent</w:t>
      </w:r>
      <w:proofErr w:type="spellEnd"/>
      <w:r>
        <w:rPr>
          <w:rFonts w:ascii="Times New Roman" w:hAnsi="Times New Roman"/>
          <w:sz w:val="24"/>
          <w:szCs w:val="24"/>
          <w:lang w:val="en-GB"/>
        </w:rPr>
        <w:t xml:space="preserve">’ and ‘Payment </w:t>
      </w:r>
      <w:proofErr w:type="spellStart"/>
      <w:r>
        <w:rPr>
          <w:rFonts w:ascii="Times New Roman" w:hAnsi="Times New Roman"/>
          <w:sz w:val="24"/>
          <w:szCs w:val="24"/>
          <w:lang w:val="en-GB"/>
        </w:rPr>
        <w:t>transactions_received</w:t>
      </w:r>
      <w:proofErr w:type="spellEnd"/>
      <w:r>
        <w:rPr>
          <w:rFonts w:ascii="Times New Roman" w:hAnsi="Times New Roman"/>
          <w:sz w:val="24"/>
          <w:szCs w:val="24"/>
          <w:lang w:val="en-GB"/>
        </w:rPr>
        <w:t>’.</w:t>
      </w:r>
    </w:p>
    <w:p w14:paraId="18C4983A" w14:textId="77777777" w:rsidR="002E4DF4" w:rsidRPr="002E4DF4" w:rsidRDefault="002E4DF4" w:rsidP="002E4DF4">
      <w:pPr>
        <w:spacing w:after="12" w:line="360" w:lineRule="auto"/>
        <w:jc w:val="both"/>
        <w:rPr>
          <w:rFonts w:ascii="Times New Roman" w:hAnsi="Times New Roman"/>
          <w:b/>
          <w:lang w:val="en-GB"/>
        </w:rPr>
      </w:pPr>
      <w:r w:rsidRPr="002E4DF4">
        <w:rPr>
          <w:rFonts w:ascii="Times New Roman" w:hAnsi="Times New Roman"/>
          <w:b/>
          <w:lang w:val="en-GB"/>
        </w:rPr>
        <w:t>Figure</w:t>
      </w:r>
      <w:r>
        <w:rPr>
          <w:rFonts w:ascii="Times New Roman" w:hAnsi="Times New Roman"/>
          <w:b/>
          <w:lang w:val="en-GB"/>
        </w:rPr>
        <w:t xml:space="preserve"> 3</w:t>
      </w:r>
    </w:p>
    <w:p w14:paraId="49109E45" w14:textId="77777777" w:rsidR="002E4DF4" w:rsidRPr="002E4DF4" w:rsidRDefault="002E4DF4" w:rsidP="002E4DF4">
      <w:pPr>
        <w:spacing w:after="12" w:line="360" w:lineRule="auto"/>
        <w:jc w:val="both"/>
        <w:rPr>
          <w:rFonts w:ascii="Times New Roman" w:hAnsi="Times New Roman"/>
          <w:lang w:val="en-GB"/>
        </w:rPr>
      </w:pPr>
      <w:r>
        <w:rPr>
          <w:rFonts w:ascii="Times New Roman" w:hAnsi="Times New Roman"/>
          <w:lang w:val="en-GB"/>
        </w:rPr>
        <w:t>Flow of transactions</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3119"/>
      </w:tblGrid>
      <w:tr w:rsidR="00532BC9" w:rsidRPr="001D39C0" w14:paraId="683A5647" w14:textId="77777777" w:rsidTr="006E12B2">
        <w:trPr>
          <w:trHeight w:val="320"/>
        </w:trPr>
        <w:tc>
          <w:tcPr>
            <w:tcW w:w="9498" w:type="dxa"/>
            <w:gridSpan w:val="3"/>
            <w:shd w:val="clear" w:color="auto" w:fill="002060"/>
            <w:vAlign w:val="center"/>
          </w:tcPr>
          <w:p w14:paraId="1D94958F" w14:textId="77777777" w:rsidR="00532BC9" w:rsidRPr="001F1C15" w:rsidRDefault="00F166FB" w:rsidP="00F166FB">
            <w:pPr>
              <w:jc w:val="both"/>
              <w:rPr>
                <w:rFonts w:ascii="Times New Roman" w:hAnsi="Times New Roman"/>
                <w:color w:val="FFFFFF" w:themeColor="background1"/>
                <w:sz w:val="24"/>
                <w:szCs w:val="24"/>
                <w:lang w:val="en-GB"/>
              </w:rPr>
            </w:pPr>
            <w:r w:rsidRPr="001F1C15">
              <w:rPr>
                <w:rFonts w:ascii="Times New Roman" w:hAnsi="Times New Roman"/>
                <w:b/>
                <w:bCs/>
                <w:color w:val="FFFFFF" w:themeColor="background1"/>
                <w:sz w:val="24"/>
                <w:szCs w:val="24"/>
                <w:lang w:val="en-GB"/>
              </w:rPr>
              <w:t>Information is r</w:t>
            </w:r>
            <w:r w:rsidR="00532BC9" w:rsidRPr="001F1C15">
              <w:rPr>
                <w:rFonts w:ascii="Times New Roman" w:hAnsi="Times New Roman"/>
                <w:b/>
                <w:bCs/>
                <w:color w:val="FFFFFF" w:themeColor="background1"/>
                <w:sz w:val="24"/>
                <w:szCs w:val="24"/>
                <w:lang w:val="en-GB"/>
              </w:rPr>
              <w:t>eported by</w:t>
            </w:r>
          </w:p>
        </w:tc>
      </w:tr>
      <w:tr w:rsidR="001D39C0" w:rsidRPr="001D39C0" w14:paraId="413D5578" w14:textId="77777777" w:rsidTr="001E2A93">
        <w:trPr>
          <w:trHeight w:val="320"/>
        </w:trPr>
        <w:tc>
          <w:tcPr>
            <w:tcW w:w="3261" w:type="dxa"/>
            <w:shd w:val="clear" w:color="auto" w:fill="D0CECE" w:themeFill="background2" w:themeFillShade="E6"/>
            <w:vAlign w:val="center"/>
            <w:hideMark/>
          </w:tcPr>
          <w:p w14:paraId="210CDF00" w14:textId="77777777" w:rsidR="001D39C0" w:rsidRPr="001E2A93" w:rsidRDefault="001D39C0" w:rsidP="001D39C0">
            <w:pPr>
              <w:jc w:val="both"/>
              <w:rPr>
                <w:rFonts w:ascii="Times New Roman" w:hAnsi="Times New Roman"/>
                <w:b/>
                <w:bCs/>
                <w:color w:val="002060"/>
                <w:sz w:val="24"/>
                <w:szCs w:val="24"/>
              </w:rPr>
            </w:pPr>
            <w:r w:rsidRPr="001E2A93">
              <w:rPr>
                <w:rFonts w:ascii="Times New Roman" w:hAnsi="Times New Roman"/>
                <w:b/>
                <w:bCs/>
                <w:sz w:val="24"/>
                <w:szCs w:val="24"/>
                <w:lang w:val="en-GB"/>
              </w:rPr>
              <w:t>Payment service</w:t>
            </w:r>
          </w:p>
        </w:tc>
        <w:tc>
          <w:tcPr>
            <w:tcW w:w="3118" w:type="dxa"/>
            <w:shd w:val="clear" w:color="auto" w:fill="D0CECE" w:themeFill="background2" w:themeFillShade="E6"/>
            <w:vAlign w:val="center"/>
            <w:hideMark/>
          </w:tcPr>
          <w:p w14:paraId="05D3CA7C" w14:textId="77777777" w:rsidR="001D39C0" w:rsidRPr="001E2A93" w:rsidRDefault="00BA737C" w:rsidP="00F84925">
            <w:pPr>
              <w:jc w:val="both"/>
              <w:rPr>
                <w:rFonts w:ascii="Times New Roman" w:hAnsi="Times New Roman"/>
                <w:b/>
                <w:color w:val="002060"/>
                <w:sz w:val="24"/>
                <w:szCs w:val="24"/>
              </w:rPr>
            </w:pPr>
            <w:r w:rsidRPr="001E2A93">
              <w:rPr>
                <w:rFonts w:ascii="Times New Roman" w:hAnsi="Times New Roman"/>
                <w:b/>
                <w:color w:val="002060"/>
                <w:sz w:val="24"/>
                <w:szCs w:val="24"/>
                <w:lang w:val="en-GB"/>
              </w:rPr>
              <w:t xml:space="preserve">Payment </w:t>
            </w:r>
            <w:proofErr w:type="spellStart"/>
            <w:r w:rsidRPr="001E2A93">
              <w:rPr>
                <w:rFonts w:ascii="Times New Roman" w:hAnsi="Times New Roman"/>
                <w:b/>
                <w:color w:val="002060"/>
                <w:sz w:val="24"/>
                <w:szCs w:val="24"/>
                <w:lang w:val="en-GB"/>
              </w:rPr>
              <w:t>transactions_</w:t>
            </w:r>
            <w:r w:rsidR="00F84925">
              <w:rPr>
                <w:rFonts w:ascii="Times New Roman" w:hAnsi="Times New Roman"/>
                <w:b/>
                <w:color w:val="002060"/>
                <w:sz w:val="24"/>
                <w:szCs w:val="24"/>
                <w:lang w:val="en-GB"/>
              </w:rPr>
              <w:t>Sent</w:t>
            </w:r>
            <w:proofErr w:type="spellEnd"/>
          </w:p>
        </w:tc>
        <w:tc>
          <w:tcPr>
            <w:tcW w:w="3119" w:type="dxa"/>
            <w:shd w:val="clear" w:color="auto" w:fill="D0CECE" w:themeFill="background2" w:themeFillShade="E6"/>
            <w:vAlign w:val="center"/>
            <w:hideMark/>
          </w:tcPr>
          <w:p w14:paraId="290BB577" w14:textId="77777777" w:rsidR="001D39C0" w:rsidRPr="001E2A93" w:rsidRDefault="00BA737C" w:rsidP="00F84925">
            <w:pPr>
              <w:jc w:val="both"/>
              <w:rPr>
                <w:rFonts w:ascii="Times New Roman" w:hAnsi="Times New Roman"/>
                <w:b/>
                <w:color w:val="002060"/>
                <w:sz w:val="24"/>
                <w:szCs w:val="24"/>
              </w:rPr>
            </w:pPr>
            <w:r w:rsidRPr="001E2A93">
              <w:rPr>
                <w:rFonts w:ascii="Times New Roman" w:hAnsi="Times New Roman"/>
                <w:b/>
                <w:color w:val="002060"/>
                <w:sz w:val="24"/>
                <w:szCs w:val="24"/>
                <w:lang w:val="en-GB"/>
              </w:rPr>
              <w:t xml:space="preserve">Payment </w:t>
            </w:r>
            <w:proofErr w:type="spellStart"/>
            <w:r w:rsidRPr="001E2A93">
              <w:rPr>
                <w:rFonts w:ascii="Times New Roman" w:hAnsi="Times New Roman"/>
                <w:b/>
                <w:color w:val="002060"/>
                <w:sz w:val="24"/>
                <w:szCs w:val="24"/>
                <w:lang w:val="en-GB"/>
              </w:rPr>
              <w:t>transactions_</w:t>
            </w:r>
            <w:r w:rsidR="00F84925">
              <w:rPr>
                <w:rFonts w:ascii="Times New Roman" w:hAnsi="Times New Roman"/>
                <w:b/>
                <w:color w:val="002060"/>
                <w:sz w:val="24"/>
                <w:szCs w:val="24"/>
                <w:lang w:val="en-GB"/>
              </w:rPr>
              <w:t>Received</w:t>
            </w:r>
            <w:proofErr w:type="spellEnd"/>
          </w:p>
        </w:tc>
      </w:tr>
      <w:tr w:rsidR="001D39C0" w:rsidRPr="001D39C0" w14:paraId="25C9637A" w14:textId="77777777" w:rsidTr="006E12B2">
        <w:trPr>
          <w:trHeight w:val="320"/>
        </w:trPr>
        <w:tc>
          <w:tcPr>
            <w:tcW w:w="3261" w:type="dxa"/>
            <w:shd w:val="clear" w:color="auto" w:fill="D0CECE" w:themeFill="background2" w:themeFillShade="E6"/>
            <w:vAlign w:val="center"/>
            <w:hideMark/>
          </w:tcPr>
          <w:p w14:paraId="6904C21F" w14:textId="77777777" w:rsidR="001D39C0" w:rsidRPr="001D39C0" w:rsidRDefault="001D39C0" w:rsidP="001D39C0">
            <w:pPr>
              <w:rPr>
                <w:rFonts w:ascii="Times New Roman" w:hAnsi="Times New Roman"/>
                <w:bCs/>
                <w:color w:val="000000"/>
                <w:sz w:val="24"/>
                <w:szCs w:val="24"/>
              </w:rPr>
            </w:pPr>
            <w:r w:rsidRPr="001D39C0">
              <w:rPr>
                <w:rFonts w:ascii="Times New Roman" w:hAnsi="Times New Roman"/>
                <w:bCs/>
                <w:color w:val="000000"/>
                <w:sz w:val="24"/>
                <w:szCs w:val="24"/>
                <w:lang w:val="en-GB"/>
              </w:rPr>
              <w:t>Credit transfers</w:t>
            </w:r>
          </w:p>
        </w:tc>
        <w:tc>
          <w:tcPr>
            <w:tcW w:w="3118" w:type="dxa"/>
            <w:vAlign w:val="center"/>
            <w:hideMark/>
          </w:tcPr>
          <w:p w14:paraId="7697FDD1" w14:textId="77777777" w:rsidR="001D39C0" w:rsidRPr="001D39C0" w:rsidRDefault="00B72DBC" w:rsidP="00532BC9">
            <w:pPr>
              <w:jc w:val="both"/>
              <w:rPr>
                <w:rFonts w:ascii="Times New Roman" w:hAnsi="Times New Roman"/>
                <w:color w:val="000000"/>
                <w:sz w:val="24"/>
                <w:szCs w:val="24"/>
              </w:rPr>
            </w:pPr>
            <w:r>
              <w:rPr>
                <w:rFonts w:ascii="Times New Roman" w:hAnsi="Times New Roman"/>
                <w:color w:val="000000"/>
                <w:sz w:val="24"/>
                <w:szCs w:val="24"/>
                <w:lang w:val="en-GB"/>
              </w:rPr>
              <w:t xml:space="preserve">The </w:t>
            </w:r>
            <w:r w:rsidR="00523C6F" w:rsidRPr="00523C6F">
              <w:rPr>
                <w:rFonts w:ascii="Times New Roman" w:hAnsi="Times New Roman"/>
                <w:color w:val="000000"/>
                <w:sz w:val="24"/>
                <w:szCs w:val="24"/>
                <w:lang w:val="en-GB"/>
              </w:rPr>
              <w:t>Payer’s PSP</w:t>
            </w:r>
          </w:p>
        </w:tc>
        <w:tc>
          <w:tcPr>
            <w:tcW w:w="3119" w:type="dxa"/>
            <w:vAlign w:val="center"/>
            <w:hideMark/>
          </w:tcPr>
          <w:p w14:paraId="3FF143F8" w14:textId="77777777" w:rsidR="001D39C0" w:rsidRPr="001D39C0" w:rsidRDefault="00B72DBC" w:rsidP="001D39C0">
            <w:pPr>
              <w:jc w:val="both"/>
              <w:rPr>
                <w:rFonts w:ascii="Times New Roman" w:hAnsi="Times New Roman"/>
                <w:color w:val="000000"/>
                <w:sz w:val="24"/>
                <w:szCs w:val="24"/>
              </w:rPr>
            </w:pPr>
            <w:r>
              <w:rPr>
                <w:rFonts w:ascii="Times New Roman" w:hAnsi="Times New Roman"/>
                <w:color w:val="000000"/>
                <w:sz w:val="24"/>
                <w:szCs w:val="24"/>
                <w:lang w:val="en-GB"/>
              </w:rPr>
              <w:t xml:space="preserve">The </w:t>
            </w:r>
            <w:r w:rsidR="00523C6F">
              <w:rPr>
                <w:rFonts w:ascii="Times New Roman" w:hAnsi="Times New Roman"/>
                <w:color w:val="000000"/>
                <w:sz w:val="24"/>
                <w:szCs w:val="24"/>
                <w:lang w:val="en-GB"/>
              </w:rPr>
              <w:t>Payee’s PSP</w:t>
            </w:r>
          </w:p>
        </w:tc>
      </w:tr>
      <w:tr w:rsidR="001D39C0" w:rsidRPr="001D39C0" w14:paraId="2E4D9CE3" w14:textId="77777777" w:rsidTr="006E12B2">
        <w:trPr>
          <w:trHeight w:val="320"/>
        </w:trPr>
        <w:tc>
          <w:tcPr>
            <w:tcW w:w="3261" w:type="dxa"/>
            <w:shd w:val="clear" w:color="auto" w:fill="D0CECE" w:themeFill="background2" w:themeFillShade="E6"/>
            <w:vAlign w:val="center"/>
            <w:hideMark/>
          </w:tcPr>
          <w:p w14:paraId="39FA05C1" w14:textId="77777777" w:rsidR="001D39C0" w:rsidRPr="001D39C0" w:rsidRDefault="001D39C0" w:rsidP="001D39C0">
            <w:pPr>
              <w:rPr>
                <w:rFonts w:ascii="Times New Roman" w:hAnsi="Times New Roman"/>
                <w:bCs/>
                <w:color w:val="000000"/>
                <w:sz w:val="24"/>
                <w:szCs w:val="24"/>
              </w:rPr>
            </w:pPr>
            <w:r w:rsidRPr="001D39C0">
              <w:rPr>
                <w:rFonts w:ascii="Times New Roman" w:hAnsi="Times New Roman"/>
                <w:bCs/>
                <w:color w:val="000000"/>
                <w:sz w:val="24"/>
                <w:szCs w:val="24"/>
                <w:lang w:val="en-GB"/>
              </w:rPr>
              <w:t>Direct debits</w:t>
            </w:r>
          </w:p>
        </w:tc>
        <w:tc>
          <w:tcPr>
            <w:tcW w:w="3118" w:type="dxa"/>
            <w:vAlign w:val="center"/>
            <w:hideMark/>
          </w:tcPr>
          <w:p w14:paraId="47BB8D10" w14:textId="77777777" w:rsidR="001D39C0" w:rsidRPr="001D39C0" w:rsidRDefault="00B72DBC" w:rsidP="001D39C0">
            <w:pPr>
              <w:jc w:val="both"/>
              <w:rPr>
                <w:rFonts w:ascii="Times New Roman" w:hAnsi="Times New Roman"/>
                <w:color w:val="000000"/>
                <w:sz w:val="24"/>
                <w:szCs w:val="24"/>
              </w:rPr>
            </w:pPr>
            <w:r>
              <w:rPr>
                <w:rFonts w:ascii="Times New Roman" w:hAnsi="Times New Roman"/>
                <w:color w:val="000000"/>
                <w:sz w:val="24"/>
                <w:szCs w:val="24"/>
                <w:lang w:val="en-GB"/>
              </w:rPr>
              <w:t xml:space="preserve">The </w:t>
            </w:r>
            <w:r w:rsidR="00523C6F">
              <w:rPr>
                <w:rFonts w:ascii="Times New Roman" w:hAnsi="Times New Roman"/>
                <w:color w:val="000000"/>
                <w:sz w:val="24"/>
                <w:szCs w:val="24"/>
                <w:lang w:val="en-GB"/>
              </w:rPr>
              <w:t>Payee’s PSP</w:t>
            </w:r>
          </w:p>
        </w:tc>
        <w:tc>
          <w:tcPr>
            <w:tcW w:w="3119" w:type="dxa"/>
            <w:vAlign w:val="center"/>
            <w:hideMark/>
          </w:tcPr>
          <w:p w14:paraId="011F7163" w14:textId="77777777" w:rsidR="001D39C0" w:rsidRPr="001D39C0" w:rsidRDefault="00B72DBC" w:rsidP="001D39C0">
            <w:pPr>
              <w:jc w:val="both"/>
              <w:rPr>
                <w:rFonts w:ascii="Times New Roman" w:hAnsi="Times New Roman"/>
                <w:color w:val="000000"/>
                <w:sz w:val="24"/>
                <w:szCs w:val="24"/>
              </w:rPr>
            </w:pPr>
            <w:r>
              <w:rPr>
                <w:rFonts w:ascii="Times New Roman" w:hAnsi="Times New Roman"/>
                <w:color w:val="000000"/>
                <w:sz w:val="24"/>
                <w:szCs w:val="24"/>
                <w:lang w:val="en-GB"/>
              </w:rPr>
              <w:t xml:space="preserve">The </w:t>
            </w:r>
            <w:r w:rsidR="00523C6F" w:rsidRPr="00523C6F">
              <w:rPr>
                <w:rFonts w:ascii="Times New Roman" w:hAnsi="Times New Roman"/>
                <w:color w:val="000000"/>
                <w:sz w:val="24"/>
                <w:szCs w:val="24"/>
                <w:lang w:val="en-GB"/>
              </w:rPr>
              <w:t>Payer’s PSP</w:t>
            </w:r>
          </w:p>
        </w:tc>
      </w:tr>
      <w:tr w:rsidR="001D39C0" w:rsidRPr="001D39C0" w14:paraId="1D18BFC9" w14:textId="77777777" w:rsidTr="006E12B2">
        <w:trPr>
          <w:trHeight w:val="320"/>
        </w:trPr>
        <w:tc>
          <w:tcPr>
            <w:tcW w:w="3261" w:type="dxa"/>
            <w:shd w:val="clear" w:color="auto" w:fill="D0CECE" w:themeFill="background2" w:themeFillShade="E6"/>
            <w:vAlign w:val="center"/>
            <w:hideMark/>
          </w:tcPr>
          <w:p w14:paraId="72887399" w14:textId="77777777" w:rsidR="001D39C0" w:rsidRPr="001D39C0" w:rsidRDefault="001D39C0" w:rsidP="001D39C0">
            <w:pPr>
              <w:rPr>
                <w:rFonts w:ascii="Times New Roman" w:hAnsi="Times New Roman"/>
                <w:bCs/>
                <w:color w:val="000000"/>
                <w:sz w:val="24"/>
                <w:szCs w:val="24"/>
              </w:rPr>
            </w:pPr>
            <w:r w:rsidRPr="001D39C0">
              <w:rPr>
                <w:rFonts w:ascii="Times New Roman" w:hAnsi="Times New Roman"/>
                <w:bCs/>
                <w:color w:val="000000"/>
                <w:sz w:val="24"/>
                <w:szCs w:val="24"/>
                <w:lang w:val="en-GB"/>
              </w:rPr>
              <w:t>Card-based payment transactions</w:t>
            </w:r>
          </w:p>
        </w:tc>
        <w:tc>
          <w:tcPr>
            <w:tcW w:w="3118" w:type="dxa"/>
            <w:vAlign w:val="center"/>
            <w:hideMark/>
          </w:tcPr>
          <w:p w14:paraId="77C7B6B1" w14:textId="13AE7CB8" w:rsidR="001D39C0" w:rsidRPr="001D39C0" w:rsidRDefault="006D58AE" w:rsidP="001D39C0">
            <w:pPr>
              <w:jc w:val="both"/>
              <w:rPr>
                <w:rFonts w:ascii="Times New Roman" w:hAnsi="Times New Roman"/>
                <w:color w:val="000000"/>
                <w:sz w:val="24"/>
                <w:szCs w:val="24"/>
              </w:rPr>
            </w:pPr>
            <w:r>
              <w:rPr>
                <w:rFonts w:ascii="Times New Roman" w:hAnsi="Times New Roman"/>
                <w:color w:val="000000"/>
                <w:sz w:val="24"/>
                <w:szCs w:val="24"/>
                <w:lang w:val="en-GB"/>
              </w:rPr>
              <w:t xml:space="preserve">The </w:t>
            </w:r>
            <w:r w:rsidRPr="00523C6F">
              <w:rPr>
                <w:rFonts w:ascii="Times New Roman" w:hAnsi="Times New Roman"/>
                <w:color w:val="000000"/>
                <w:sz w:val="24"/>
                <w:szCs w:val="24"/>
                <w:lang w:val="en-GB"/>
              </w:rPr>
              <w:t>Payer’s PSP</w:t>
            </w:r>
          </w:p>
        </w:tc>
        <w:tc>
          <w:tcPr>
            <w:tcW w:w="3119" w:type="dxa"/>
            <w:vAlign w:val="center"/>
            <w:hideMark/>
          </w:tcPr>
          <w:p w14:paraId="43B8A182" w14:textId="2E56EB47" w:rsidR="001D39C0" w:rsidRPr="001D39C0" w:rsidRDefault="006D58AE" w:rsidP="001D39C0">
            <w:pPr>
              <w:jc w:val="both"/>
              <w:rPr>
                <w:rFonts w:ascii="Times New Roman" w:hAnsi="Times New Roman"/>
                <w:color w:val="000000"/>
                <w:sz w:val="24"/>
                <w:szCs w:val="24"/>
              </w:rPr>
            </w:pPr>
            <w:r>
              <w:rPr>
                <w:rFonts w:ascii="Times New Roman" w:hAnsi="Times New Roman"/>
                <w:color w:val="000000"/>
                <w:sz w:val="24"/>
                <w:szCs w:val="24"/>
                <w:lang w:val="en-GB"/>
              </w:rPr>
              <w:t>The Payee’s PSP</w:t>
            </w:r>
          </w:p>
        </w:tc>
      </w:tr>
      <w:tr w:rsidR="001D39C0" w:rsidRPr="001D39C0" w14:paraId="6F6F5F8A" w14:textId="77777777" w:rsidTr="006E12B2">
        <w:trPr>
          <w:trHeight w:val="320"/>
        </w:trPr>
        <w:tc>
          <w:tcPr>
            <w:tcW w:w="3261" w:type="dxa"/>
            <w:shd w:val="clear" w:color="auto" w:fill="D0CECE" w:themeFill="background2" w:themeFillShade="E6"/>
            <w:vAlign w:val="center"/>
            <w:hideMark/>
          </w:tcPr>
          <w:p w14:paraId="59824767" w14:textId="77777777" w:rsidR="001D39C0" w:rsidRPr="001D39C0" w:rsidRDefault="001D39C0" w:rsidP="001D39C0">
            <w:pPr>
              <w:rPr>
                <w:rFonts w:ascii="Times New Roman" w:hAnsi="Times New Roman"/>
                <w:bCs/>
                <w:color w:val="000000"/>
                <w:sz w:val="24"/>
                <w:szCs w:val="24"/>
              </w:rPr>
            </w:pPr>
            <w:r w:rsidRPr="001D39C0">
              <w:rPr>
                <w:rFonts w:ascii="Times New Roman" w:hAnsi="Times New Roman"/>
                <w:bCs/>
                <w:color w:val="000000"/>
                <w:sz w:val="24"/>
                <w:szCs w:val="24"/>
                <w:lang w:val="en-GB"/>
              </w:rPr>
              <w:t>Cash withdrawals</w:t>
            </w:r>
          </w:p>
        </w:tc>
        <w:tc>
          <w:tcPr>
            <w:tcW w:w="3118" w:type="dxa"/>
            <w:vAlign w:val="center"/>
            <w:hideMark/>
          </w:tcPr>
          <w:p w14:paraId="75FA1BE6" w14:textId="77777777" w:rsidR="001D39C0" w:rsidRPr="001D39C0" w:rsidRDefault="00B72DBC" w:rsidP="001D39C0">
            <w:pPr>
              <w:jc w:val="both"/>
              <w:rPr>
                <w:rFonts w:ascii="Times New Roman" w:hAnsi="Times New Roman"/>
                <w:color w:val="000000"/>
                <w:sz w:val="24"/>
                <w:szCs w:val="24"/>
              </w:rPr>
            </w:pPr>
            <w:r>
              <w:rPr>
                <w:rFonts w:ascii="Times New Roman" w:hAnsi="Times New Roman"/>
                <w:color w:val="000000"/>
                <w:sz w:val="24"/>
                <w:szCs w:val="24"/>
                <w:lang w:val="en-GB"/>
              </w:rPr>
              <w:t xml:space="preserve">The </w:t>
            </w:r>
            <w:r w:rsidR="001F1C15">
              <w:rPr>
                <w:rFonts w:ascii="Times New Roman" w:hAnsi="Times New Roman"/>
                <w:color w:val="000000"/>
                <w:sz w:val="24"/>
                <w:szCs w:val="24"/>
                <w:lang w:val="en-GB"/>
              </w:rPr>
              <w:t>Card issuing</w:t>
            </w:r>
            <w:r w:rsidR="00532BC9">
              <w:rPr>
                <w:rFonts w:ascii="Times New Roman" w:hAnsi="Times New Roman"/>
                <w:color w:val="000000"/>
                <w:sz w:val="24"/>
                <w:szCs w:val="24"/>
                <w:lang w:val="en-GB"/>
              </w:rPr>
              <w:t xml:space="preserve"> PSP</w:t>
            </w:r>
          </w:p>
        </w:tc>
        <w:tc>
          <w:tcPr>
            <w:tcW w:w="3119" w:type="dxa"/>
            <w:vAlign w:val="center"/>
            <w:hideMark/>
          </w:tcPr>
          <w:p w14:paraId="170D2C76" w14:textId="77777777" w:rsidR="001D39C0" w:rsidRPr="001D39C0" w:rsidRDefault="00532BC9" w:rsidP="001D39C0">
            <w:pPr>
              <w:jc w:val="both"/>
              <w:rPr>
                <w:rFonts w:ascii="Times New Roman" w:hAnsi="Times New Roman"/>
                <w:color w:val="000000"/>
                <w:sz w:val="24"/>
                <w:szCs w:val="24"/>
              </w:rPr>
            </w:pPr>
            <w:proofErr w:type="spellStart"/>
            <w:r>
              <w:rPr>
                <w:rFonts w:ascii="Times New Roman" w:hAnsi="Times New Roman"/>
                <w:color w:val="000000"/>
                <w:sz w:val="24"/>
                <w:szCs w:val="24"/>
                <w:lang w:val="en-GB"/>
              </w:rPr>
              <w:t>n/a</w:t>
            </w:r>
            <w:proofErr w:type="spellEnd"/>
          </w:p>
        </w:tc>
      </w:tr>
      <w:tr w:rsidR="001D39C0" w:rsidRPr="00F53249" w14:paraId="66D0063A" w14:textId="77777777" w:rsidTr="006E12B2">
        <w:trPr>
          <w:trHeight w:val="320"/>
        </w:trPr>
        <w:tc>
          <w:tcPr>
            <w:tcW w:w="3261" w:type="dxa"/>
            <w:shd w:val="clear" w:color="auto" w:fill="D0CECE" w:themeFill="background2" w:themeFillShade="E6"/>
            <w:vAlign w:val="center"/>
            <w:hideMark/>
          </w:tcPr>
          <w:p w14:paraId="1EB12593" w14:textId="77777777" w:rsidR="001D39C0" w:rsidRPr="001D39C0" w:rsidRDefault="001D39C0" w:rsidP="001D39C0">
            <w:pPr>
              <w:rPr>
                <w:rFonts w:ascii="Times New Roman" w:hAnsi="Times New Roman"/>
                <w:bCs/>
                <w:color w:val="000000"/>
                <w:sz w:val="24"/>
                <w:szCs w:val="24"/>
              </w:rPr>
            </w:pPr>
            <w:r w:rsidRPr="001D39C0">
              <w:rPr>
                <w:rFonts w:ascii="Times New Roman" w:hAnsi="Times New Roman"/>
                <w:bCs/>
                <w:color w:val="000000"/>
                <w:sz w:val="24"/>
                <w:szCs w:val="24"/>
                <w:lang w:val="en-GB"/>
              </w:rPr>
              <w:t>E-money payment transactions</w:t>
            </w:r>
          </w:p>
        </w:tc>
        <w:tc>
          <w:tcPr>
            <w:tcW w:w="3118" w:type="dxa"/>
            <w:vAlign w:val="center"/>
            <w:hideMark/>
          </w:tcPr>
          <w:p w14:paraId="0CFB365F" w14:textId="77777777" w:rsidR="001D39C0" w:rsidRPr="001D39C0" w:rsidRDefault="00B72DBC" w:rsidP="001F1C15">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The </w:t>
            </w:r>
            <w:r w:rsidR="003C0C9D" w:rsidRPr="003C0C9D">
              <w:rPr>
                <w:rFonts w:ascii="Times New Roman" w:hAnsi="Times New Roman"/>
                <w:color w:val="000000"/>
                <w:sz w:val="24"/>
                <w:szCs w:val="24"/>
                <w:lang w:val="en-GB"/>
              </w:rPr>
              <w:t xml:space="preserve">PSP when the </w:t>
            </w:r>
            <w:r w:rsidR="000C4A34" w:rsidRPr="003C0C9D">
              <w:rPr>
                <w:rFonts w:ascii="Times New Roman" w:hAnsi="Times New Roman"/>
                <w:color w:val="000000"/>
                <w:sz w:val="24"/>
                <w:szCs w:val="24"/>
                <w:lang w:val="en-GB"/>
              </w:rPr>
              <w:t>payer</w:t>
            </w:r>
            <w:r w:rsidR="003C0C9D" w:rsidRPr="003C0C9D">
              <w:rPr>
                <w:rFonts w:ascii="Times New Roman" w:hAnsi="Times New Roman"/>
                <w:color w:val="000000"/>
                <w:sz w:val="24"/>
                <w:szCs w:val="24"/>
                <w:lang w:val="en-GB"/>
              </w:rPr>
              <w:t xml:space="preserve"> </w:t>
            </w:r>
            <w:r w:rsidR="000C4A34" w:rsidRPr="003C0C9D">
              <w:rPr>
                <w:rFonts w:ascii="Times New Roman" w:hAnsi="Times New Roman"/>
                <w:color w:val="000000"/>
                <w:sz w:val="24"/>
                <w:szCs w:val="24"/>
                <w:lang w:val="en-GB"/>
              </w:rPr>
              <w:t>initiates the transaction</w:t>
            </w:r>
          </w:p>
        </w:tc>
        <w:tc>
          <w:tcPr>
            <w:tcW w:w="3119" w:type="dxa"/>
            <w:vAlign w:val="center"/>
            <w:hideMark/>
          </w:tcPr>
          <w:p w14:paraId="1C61964F" w14:textId="77777777" w:rsidR="001D39C0" w:rsidRPr="001D39C0" w:rsidRDefault="00B72DBC" w:rsidP="003C0C9D">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The </w:t>
            </w:r>
            <w:r w:rsidR="003C0C9D">
              <w:rPr>
                <w:rFonts w:ascii="Times New Roman" w:hAnsi="Times New Roman"/>
                <w:color w:val="000000"/>
                <w:sz w:val="24"/>
                <w:szCs w:val="24"/>
                <w:lang w:val="en-GB"/>
              </w:rPr>
              <w:t>PSP when</w:t>
            </w:r>
            <w:r w:rsidR="003C0C9D" w:rsidRPr="003C0C9D">
              <w:rPr>
                <w:rFonts w:ascii="Times New Roman" w:hAnsi="Times New Roman"/>
                <w:color w:val="000000"/>
                <w:sz w:val="24"/>
                <w:szCs w:val="24"/>
                <w:lang w:val="en-GB"/>
              </w:rPr>
              <w:t xml:space="preserve"> the payee initiates the transaction</w:t>
            </w:r>
          </w:p>
        </w:tc>
      </w:tr>
      <w:tr w:rsidR="001D39C0" w:rsidRPr="001D39C0" w14:paraId="6B3F36FD" w14:textId="77777777" w:rsidTr="006E12B2">
        <w:trPr>
          <w:trHeight w:val="320"/>
        </w:trPr>
        <w:tc>
          <w:tcPr>
            <w:tcW w:w="3261" w:type="dxa"/>
            <w:shd w:val="clear" w:color="auto" w:fill="D0CECE" w:themeFill="background2" w:themeFillShade="E6"/>
            <w:vAlign w:val="center"/>
            <w:hideMark/>
          </w:tcPr>
          <w:p w14:paraId="558BBB62" w14:textId="77777777" w:rsidR="001D39C0" w:rsidRPr="001D39C0" w:rsidRDefault="001D39C0" w:rsidP="001D39C0">
            <w:pPr>
              <w:rPr>
                <w:rFonts w:ascii="Times New Roman" w:hAnsi="Times New Roman"/>
                <w:bCs/>
                <w:color w:val="000000"/>
                <w:sz w:val="24"/>
                <w:szCs w:val="24"/>
              </w:rPr>
            </w:pPr>
            <w:r w:rsidRPr="001D39C0">
              <w:rPr>
                <w:rFonts w:ascii="Times New Roman" w:hAnsi="Times New Roman"/>
                <w:bCs/>
                <w:color w:val="000000"/>
                <w:sz w:val="24"/>
                <w:szCs w:val="24"/>
                <w:lang w:val="en-GB"/>
              </w:rPr>
              <w:t>Cheques</w:t>
            </w:r>
          </w:p>
        </w:tc>
        <w:tc>
          <w:tcPr>
            <w:tcW w:w="3118" w:type="dxa"/>
            <w:vAlign w:val="center"/>
            <w:hideMark/>
          </w:tcPr>
          <w:p w14:paraId="6CA0700C" w14:textId="77777777" w:rsidR="001D39C0" w:rsidRPr="001D39C0" w:rsidRDefault="00722F4B" w:rsidP="001D39C0">
            <w:pPr>
              <w:jc w:val="both"/>
              <w:rPr>
                <w:rFonts w:ascii="Times New Roman" w:hAnsi="Times New Roman"/>
                <w:color w:val="000000"/>
                <w:sz w:val="24"/>
                <w:szCs w:val="24"/>
                <w:lang w:val="en-GB"/>
              </w:rPr>
            </w:pPr>
            <w:r>
              <w:rPr>
                <w:rFonts w:ascii="Times New Roman" w:hAnsi="Times New Roman"/>
                <w:color w:val="000000"/>
                <w:sz w:val="24"/>
                <w:szCs w:val="24"/>
                <w:lang w:val="en-GB"/>
              </w:rPr>
              <w:t>PSP on payee</w:t>
            </w:r>
            <w:r w:rsidRPr="001D39C0">
              <w:rPr>
                <w:rFonts w:ascii="Times New Roman" w:hAnsi="Times New Roman"/>
                <w:color w:val="000000"/>
                <w:sz w:val="24"/>
                <w:szCs w:val="24"/>
                <w:lang w:val="en-GB"/>
              </w:rPr>
              <w:t>’s side</w:t>
            </w:r>
          </w:p>
        </w:tc>
        <w:tc>
          <w:tcPr>
            <w:tcW w:w="3119" w:type="dxa"/>
            <w:vAlign w:val="center"/>
            <w:hideMark/>
          </w:tcPr>
          <w:p w14:paraId="61F76735" w14:textId="77777777" w:rsidR="001D39C0" w:rsidRPr="001D39C0" w:rsidRDefault="00523C6F" w:rsidP="001D39C0">
            <w:pPr>
              <w:jc w:val="both"/>
              <w:rPr>
                <w:rFonts w:ascii="Times New Roman" w:hAnsi="Times New Roman"/>
                <w:color w:val="000000"/>
                <w:sz w:val="24"/>
                <w:szCs w:val="24"/>
                <w:lang w:val="en-GB"/>
              </w:rPr>
            </w:pPr>
            <w:r>
              <w:rPr>
                <w:rFonts w:ascii="Times New Roman" w:hAnsi="Times New Roman"/>
                <w:color w:val="000000"/>
                <w:sz w:val="24"/>
                <w:szCs w:val="24"/>
                <w:lang w:val="en-GB"/>
              </w:rPr>
              <w:t>PSP on p</w:t>
            </w:r>
            <w:r w:rsidRPr="001D39C0">
              <w:rPr>
                <w:rFonts w:ascii="Times New Roman" w:hAnsi="Times New Roman"/>
                <w:color w:val="000000"/>
                <w:sz w:val="24"/>
                <w:szCs w:val="24"/>
                <w:lang w:val="en-GB"/>
              </w:rPr>
              <w:t>ayer’s side</w:t>
            </w:r>
          </w:p>
        </w:tc>
      </w:tr>
      <w:tr w:rsidR="001D39C0" w:rsidRPr="001D39C0" w14:paraId="58CCEC5F" w14:textId="77777777" w:rsidTr="006E12B2">
        <w:trPr>
          <w:trHeight w:val="320"/>
        </w:trPr>
        <w:tc>
          <w:tcPr>
            <w:tcW w:w="3261" w:type="dxa"/>
            <w:shd w:val="clear" w:color="auto" w:fill="D0CECE" w:themeFill="background2" w:themeFillShade="E6"/>
            <w:vAlign w:val="center"/>
            <w:hideMark/>
          </w:tcPr>
          <w:p w14:paraId="732D86D6" w14:textId="77777777" w:rsidR="001D39C0" w:rsidRPr="001D39C0" w:rsidRDefault="001D39C0" w:rsidP="001D39C0">
            <w:pPr>
              <w:rPr>
                <w:rFonts w:ascii="Times New Roman" w:hAnsi="Times New Roman"/>
                <w:bCs/>
                <w:color w:val="000000"/>
                <w:sz w:val="24"/>
                <w:szCs w:val="24"/>
              </w:rPr>
            </w:pPr>
            <w:r w:rsidRPr="001F1C15">
              <w:rPr>
                <w:rFonts w:ascii="Times New Roman" w:hAnsi="Times New Roman"/>
                <w:bCs/>
                <w:color w:val="000000"/>
                <w:sz w:val="24"/>
                <w:szCs w:val="24"/>
                <w:lang w:val="en-GB"/>
              </w:rPr>
              <w:t>Money remittances</w:t>
            </w:r>
          </w:p>
        </w:tc>
        <w:tc>
          <w:tcPr>
            <w:tcW w:w="3118" w:type="dxa"/>
            <w:vAlign w:val="center"/>
            <w:hideMark/>
          </w:tcPr>
          <w:p w14:paraId="349AB48E" w14:textId="77777777" w:rsidR="001D39C0" w:rsidRPr="001D39C0" w:rsidRDefault="00B72DBC" w:rsidP="001D39C0">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The </w:t>
            </w:r>
            <w:r w:rsidR="00523C6F" w:rsidRPr="00523C6F">
              <w:rPr>
                <w:rFonts w:ascii="Times New Roman" w:hAnsi="Times New Roman"/>
                <w:color w:val="000000"/>
                <w:sz w:val="24"/>
                <w:szCs w:val="24"/>
                <w:lang w:val="en-GB"/>
              </w:rPr>
              <w:t>Payer’s PSP</w:t>
            </w:r>
          </w:p>
        </w:tc>
        <w:tc>
          <w:tcPr>
            <w:tcW w:w="3119" w:type="dxa"/>
            <w:vAlign w:val="center"/>
            <w:hideMark/>
          </w:tcPr>
          <w:p w14:paraId="2E0D8C52" w14:textId="77777777" w:rsidR="001D39C0" w:rsidRPr="001D39C0" w:rsidRDefault="00B72DBC" w:rsidP="001D39C0">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The </w:t>
            </w:r>
            <w:r w:rsidR="00523C6F">
              <w:rPr>
                <w:rFonts w:ascii="Times New Roman" w:hAnsi="Times New Roman"/>
                <w:color w:val="000000"/>
                <w:sz w:val="24"/>
                <w:szCs w:val="24"/>
                <w:lang w:val="en-GB"/>
              </w:rPr>
              <w:t>Payee’s PSP</w:t>
            </w:r>
          </w:p>
        </w:tc>
      </w:tr>
      <w:tr w:rsidR="0062570C" w:rsidRPr="001D39C0" w14:paraId="4FB2924F" w14:textId="77777777" w:rsidTr="00F76228">
        <w:trPr>
          <w:trHeight w:val="320"/>
        </w:trPr>
        <w:tc>
          <w:tcPr>
            <w:tcW w:w="3261" w:type="dxa"/>
            <w:shd w:val="clear" w:color="auto" w:fill="D0CECE" w:themeFill="background2" w:themeFillShade="E6"/>
            <w:vAlign w:val="center"/>
            <w:hideMark/>
          </w:tcPr>
          <w:p w14:paraId="4894D666" w14:textId="77777777" w:rsidR="0062570C" w:rsidRPr="001D39C0" w:rsidRDefault="0062570C" w:rsidP="0062570C">
            <w:pPr>
              <w:rPr>
                <w:rFonts w:ascii="Times New Roman" w:hAnsi="Times New Roman"/>
                <w:bCs/>
                <w:color w:val="000000"/>
                <w:sz w:val="24"/>
                <w:szCs w:val="24"/>
              </w:rPr>
            </w:pPr>
            <w:r w:rsidRPr="001F1C15">
              <w:rPr>
                <w:rFonts w:ascii="Times New Roman" w:hAnsi="Times New Roman"/>
                <w:bCs/>
                <w:color w:val="000000"/>
                <w:sz w:val="24"/>
                <w:szCs w:val="24"/>
                <w:lang w:val="en-GB"/>
              </w:rPr>
              <w:t>Other payment services</w:t>
            </w:r>
          </w:p>
        </w:tc>
        <w:tc>
          <w:tcPr>
            <w:tcW w:w="3118" w:type="dxa"/>
            <w:hideMark/>
          </w:tcPr>
          <w:p w14:paraId="10F1D163" w14:textId="50483AD2" w:rsidR="0062570C" w:rsidRPr="001D39C0" w:rsidRDefault="0062570C" w:rsidP="0062570C">
            <w:pPr>
              <w:jc w:val="both"/>
              <w:rPr>
                <w:rFonts w:ascii="Times New Roman" w:hAnsi="Times New Roman"/>
                <w:color w:val="000000"/>
                <w:sz w:val="24"/>
                <w:szCs w:val="24"/>
                <w:lang w:val="en-GB"/>
              </w:rPr>
            </w:pPr>
            <w:r w:rsidRPr="00AE5175">
              <w:rPr>
                <w:rFonts w:ascii="Times New Roman" w:hAnsi="Times New Roman"/>
                <w:color w:val="000000"/>
                <w:sz w:val="24"/>
                <w:szCs w:val="24"/>
                <w:lang w:val="en-GB"/>
              </w:rPr>
              <w:t>The Payer’s PSP</w:t>
            </w:r>
          </w:p>
        </w:tc>
        <w:tc>
          <w:tcPr>
            <w:tcW w:w="3119" w:type="dxa"/>
            <w:vAlign w:val="center"/>
            <w:hideMark/>
          </w:tcPr>
          <w:p w14:paraId="27FA7DA3" w14:textId="607B3213" w:rsidR="0062570C" w:rsidRPr="001D39C0" w:rsidRDefault="0062570C" w:rsidP="0062570C">
            <w:pPr>
              <w:jc w:val="both"/>
              <w:rPr>
                <w:rFonts w:ascii="Times New Roman" w:hAnsi="Times New Roman"/>
                <w:color w:val="000000"/>
                <w:sz w:val="24"/>
                <w:szCs w:val="24"/>
                <w:lang w:val="en-GB"/>
              </w:rPr>
            </w:pPr>
            <w:r>
              <w:rPr>
                <w:rFonts w:ascii="Times New Roman" w:hAnsi="Times New Roman"/>
                <w:color w:val="000000"/>
                <w:sz w:val="24"/>
                <w:szCs w:val="24"/>
                <w:lang w:val="en-GB"/>
              </w:rPr>
              <w:t>The Payee’s PSP</w:t>
            </w:r>
          </w:p>
        </w:tc>
      </w:tr>
      <w:tr w:rsidR="0062570C" w:rsidRPr="001D39C0" w14:paraId="275DAEB7" w14:textId="77777777" w:rsidTr="00F76228">
        <w:trPr>
          <w:trHeight w:val="320"/>
        </w:trPr>
        <w:tc>
          <w:tcPr>
            <w:tcW w:w="3261" w:type="dxa"/>
            <w:shd w:val="clear" w:color="auto" w:fill="D0CECE" w:themeFill="background2" w:themeFillShade="E6"/>
            <w:vAlign w:val="center"/>
            <w:hideMark/>
          </w:tcPr>
          <w:p w14:paraId="10A3AE1A" w14:textId="77777777" w:rsidR="0062570C" w:rsidRPr="001D39C0" w:rsidRDefault="0062570C" w:rsidP="0062570C">
            <w:pPr>
              <w:rPr>
                <w:rFonts w:ascii="Times New Roman" w:hAnsi="Times New Roman"/>
                <w:bCs/>
                <w:color w:val="000000"/>
                <w:sz w:val="24"/>
                <w:szCs w:val="24"/>
              </w:rPr>
            </w:pPr>
            <w:r w:rsidRPr="001F1C15">
              <w:rPr>
                <w:rFonts w:ascii="Times New Roman" w:hAnsi="Times New Roman"/>
                <w:bCs/>
                <w:color w:val="000000"/>
                <w:sz w:val="24"/>
                <w:szCs w:val="24"/>
                <w:lang w:val="en-GB"/>
              </w:rPr>
              <w:t>Payment initiation services</w:t>
            </w:r>
          </w:p>
        </w:tc>
        <w:tc>
          <w:tcPr>
            <w:tcW w:w="3118" w:type="dxa"/>
            <w:hideMark/>
          </w:tcPr>
          <w:p w14:paraId="725AE745" w14:textId="307770CF" w:rsidR="0062570C" w:rsidRPr="001D39C0" w:rsidRDefault="0062570C" w:rsidP="0062570C">
            <w:pPr>
              <w:jc w:val="both"/>
              <w:rPr>
                <w:rFonts w:ascii="Times New Roman" w:hAnsi="Times New Roman"/>
                <w:color w:val="000000"/>
                <w:sz w:val="24"/>
                <w:szCs w:val="24"/>
                <w:lang w:val="en-GB"/>
              </w:rPr>
            </w:pPr>
            <w:r w:rsidRPr="00AE5175">
              <w:rPr>
                <w:rFonts w:ascii="Times New Roman" w:hAnsi="Times New Roman"/>
                <w:color w:val="000000"/>
                <w:sz w:val="24"/>
                <w:szCs w:val="24"/>
                <w:lang w:val="en-GB"/>
              </w:rPr>
              <w:t>The Payer’s PSP</w:t>
            </w:r>
          </w:p>
        </w:tc>
        <w:tc>
          <w:tcPr>
            <w:tcW w:w="3119" w:type="dxa"/>
            <w:vAlign w:val="center"/>
            <w:hideMark/>
          </w:tcPr>
          <w:p w14:paraId="24673B61" w14:textId="77777777" w:rsidR="0062570C" w:rsidRPr="001D39C0" w:rsidRDefault="0062570C" w:rsidP="0062570C">
            <w:pPr>
              <w:jc w:val="both"/>
              <w:rPr>
                <w:rFonts w:ascii="Times New Roman" w:hAnsi="Times New Roman"/>
                <w:color w:val="000000"/>
                <w:sz w:val="24"/>
                <w:szCs w:val="24"/>
                <w:lang w:val="en-GB"/>
              </w:rPr>
            </w:pPr>
            <w:proofErr w:type="spellStart"/>
            <w:r>
              <w:rPr>
                <w:rFonts w:ascii="Times New Roman" w:hAnsi="Times New Roman"/>
                <w:color w:val="000000"/>
                <w:sz w:val="24"/>
                <w:szCs w:val="24"/>
                <w:lang w:val="en-GB"/>
              </w:rPr>
              <w:t>n/a</w:t>
            </w:r>
            <w:proofErr w:type="spellEnd"/>
          </w:p>
        </w:tc>
      </w:tr>
      <w:tr w:rsidR="0062570C" w:rsidRPr="00532BC9" w14:paraId="7765C6DB" w14:textId="77777777" w:rsidTr="00F76228">
        <w:trPr>
          <w:trHeight w:val="320"/>
        </w:trPr>
        <w:tc>
          <w:tcPr>
            <w:tcW w:w="3261" w:type="dxa"/>
            <w:shd w:val="clear" w:color="auto" w:fill="D0CECE" w:themeFill="background2" w:themeFillShade="E6"/>
            <w:vAlign w:val="center"/>
          </w:tcPr>
          <w:p w14:paraId="500457FB" w14:textId="77777777" w:rsidR="0062570C" w:rsidRPr="001F1C15" w:rsidRDefault="0062570C" w:rsidP="0062570C">
            <w:pPr>
              <w:rPr>
                <w:rFonts w:ascii="Times New Roman" w:hAnsi="Times New Roman"/>
                <w:bCs/>
                <w:color w:val="000000"/>
                <w:sz w:val="24"/>
                <w:szCs w:val="24"/>
                <w:lang w:val="en-GB"/>
              </w:rPr>
            </w:pPr>
            <w:r w:rsidRPr="001F1C15">
              <w:rPr>
                <w:rFonts w:ascii="Times New Roman" w:hAnsi="Times New Roman"/>
                <w:bCs/>
                <w:color w:val="000000"/>
                <w:sz w:val="24"/>
                <w:szCs w:val="24"/>
                <w:lang w:val="en-GB"/>
              </w:rPr>
              <w:t>Other services (not included in Directive (EU) 2015/2366)</w:t>
            </w:r>
          </w:p>
        </w:tc>
        <w:tc>
          <w:tcPr>
            <w:tcW w:w="3118" w:type="dxa"/>
          </w:tcPr>
          <w:p w14:paraId="51B0062F" w14:textId="448472DD" w:rsidR="0062570C" w:rsidRPr="001D39C0" w:rsidRDefault="0062570C" w:rsidP="0062570C">
            <w:pPr>
              <w:jc w:val="both"/>
              <w:rPr>
                <w:rFonts w:ascii="Times New Roman" w:hAnsi="Times New Roman"/>
                <w:color w:val="000000"/>
                <w:sz w:val="24"/>
                <w:szCs w:val="24"/>
                <w:lang w:val="en-GB"/>
              </w:rPr>
            </w:pPr>
            <w:r w:rsidRPr="00AE5175">
              <w:rPr>
                <w:rFonts w:ascii="Times New Roman" w:hAnsi="Times New Roman"/>
                <w:color w:val="000000"/>
                <w:sz w:val="24"/>
                <w:szCs w:val="24"/>
                <w:lang w:val="en-GB"/>
              </w:rPr>
              <w:t>The Payer’s PSP</w:t>
            </w:r>
          </w:p>
        </w:tc>
        <w:tc>
          <w:tcPr>
            <w:tcW w:w="3119" w:type="dxa"/>
            <w:vAlign w:val="center"/>
          </w:tcPr>
          <w:p w14:paraId="68EA1648" w14:textId="77777777" w:rsidR="0062570C" w:rsidRPr="001D39C0" w:rsidRDefault="0062570C" w:rsidP="0062570C">
            <w:pPr>
              <w:jc w:val="both"/>
              <w:rPr>
                <w:rFonts w:ascii="Times New Roman" w:hAnsi="Times New Roman"/>
                <w:color w:val="000000"/>
                <w:sz w:val="24"/>
                <w:szCs w:val="24"/>
                <w:lang w:val="en-GB"/>
              </w:rPr>
            </w:pPr>
            <w:proofErr w:type="spellStart"/>
            <w:r>
              <w:rPr>
                <w:rFonts w:ascii="Times New Roman" w:hAnsi="Times New Roman"/>
                <w:color w:val="000000"/>
                <w:sz w:val="24"/>
                <w:szCs w:val="24"/>
                <w:lang w:val="en-GB"/>
              </w:rPr>
              <w:t>n/a</w:t>
            </w:r>
            <w:proofErr w:type="spellEnd"/>
          </w:p>
        </w:tc>
      </w:tr>
    </w:tbl>
    <w:p w14:paraId="168AC5AF" w14:textId="77777777" w:rsidR="00C560DF" w:rsidRDefault="00C560DF" w:rsidP="00C560DF">
      <w:pPr>
        <w:spacing w:line="360" w:lineRule="auto"/>
        <w:jc w:val="both"/>
        <w:rPr>
          <w:rFonts w:ascii="Times New Roman" w:hAnsi="Times New Roman"/>
          <w:sz w:val="24"/>
          <w:szCs w:val="24"/>
          <w:lang w:val="en-GB"/>
        </w:rPr>
      </w:pPr>
    </w:p>
    <w:p w14:paraId="64CE8371" w14:textId="77777777" w:rsidR="00D24B45" w:rsidRDefault="00657AE8" w:rsidP="00760F3B">
      <w:pPr>
        <w:spacing w:after="120" w:line="360" w:lineRule="auto"/>
        <w:jc w:val="both"/>
        <w:rPr>
          <w:rFonts w:ascii="Times New Roman" w:hAnsi="Times New Roman"/>
          <w:sz w:val="24"/>
          <w:szCs w:val="24"/>
          <w:lang w:val="en-GB"/>
        </w:rPr>
      </w:pPr>
      <w:r w:rsidRPr="00171C79">
        <w:rPr>
          <w:rFonts w:ascii="Times New Roman" w:hAnsi="Times New Roman"/>
          <w:sz w:val="24"/>
          <w:szCs w:val="24"/>
          <w:lang w:val="en-GB"/>
        </w:rPr>
        <w:lastRenderedPageBreak/>
        <w:t>In relation to bulk payment transactions, each individual payment transaction is counted.</w:t>
      </w:r>
      <w:r w:rsidR="00D24B45">
        <w:rPr>
          <w:rFonts w:ascii="Times New Roman" w:hAnsi="Times New Roman"/>
          <w:sz w:val="24"/>
          <w:szCs w:val="24"/>
          <w:lang w:val="en-GB"/>
        </w:rPr>
        <w:t xml:space="preserve"> </w:t>
      </w:r>
    </w:p>
    <w:p w14:paraId="3F85E635" w14:textId="3A2BD5C1" w:rsidR="00591697" w:rsidRDefault="00D24B45" w:rsidP="00760F3B">
      <w:pPr>
        <w:spacing w:after="120" w:line="360" w:lineRule="auto"/>
        <w:jc w:val="both"/>
        <w:rPr>
          <w:rFonts w:ascii="Times New Roman" w:hAnsi="Times New Roman"/>
          <w:sz w:val="24"/>
          <w:szCs w:val="24"/>
          <w:lang w:val="en-GB"/>
        </w:rPr>
      </w:pPr>
      <w:r>
        <w:rPr>
          <w:rFonts w:ascii="Times New Roman" w:hAnsi="Times New Roman"/>
          <w:sz w:val="24"/>
          <w:szCs w:val="24"/>
          <w:lang w:val="en-GB"/>
        </w:rPr>
        <w:t>C</w:t>
      </w:r>
      <w:r w:rsidR="00591697" w:rsidRPr="00760F3B">
        <w:rPr>
          <w:rFonts w:ascii="Times New Roman" w:hAnsi="Times New Roman"/>
          <w:sz w:val="24"/>
          <w:szCs w:val="24"/>
          <w:lang w:val="en-GB"/>
        </w:rPr>
        <w:t xml:space="preserve">ancelled transactions are not counted, whereas rejected transactions </w:t>
      </w:r>
      <w:r w:rsidR="00EB1DB3">
        <w:rPr>
          <w:rFonts w:ascii="Times New Roman" w:hAnsi="Times New Roman"/>
          <w:sz w:val="24"/>
          <w:szCs w:val="24"/>
          <w:lang w:val="en-GB"/>
        </w:rPr>
        <w:t xml:space="preserve">which </w:t>
      </w:r>
      <w:r w:rsidR="00EB1DB3" w:rsidRPr="00EB1DB3">
        <w:rPr>
          <w:rFonts w:ascii="Times New Roman" w:hAnsi="Times New Roman"/>
          <w:sz w:val="24"/>
          <w:szCs w:val="24"/>
          <w:lang w:val="en-GB"/>
        </w:rPr>
        <w:t xml:space="preserve">result in actual transactions, </w:t>
      </w:r>
      <w:r w:rsidR="00EB1DB3">
        <w:rPr>
          <w:rFonts w:ascii="Times New Roman" w:hAnsi="Times New Roman"/>
          <w:sz w:val="24"/>
          <w:szCs w:val="24"/>
          <w:lang w:val="en-GB"/>
        </w:rPr>
        <w:t>are</w:t>
      </w:r>
      <w:r w:rsidR="00EB1DB3" w:rsidRPr="00EB1DB3">
        <w:rPr>
          <w:rFonts w:ascii="Times New Roman" w:hAnsi="Times New Roman"/>
          <w:sz w:val="24"/>
          <w:szCs w:val="24"/>
          <w:lang w:val="en-GB"/>
        </w:rPr>
        <w:t xml:space="preserve"> counted, i.e. reported.</w:t>
      </w:r>
      <w:r w:rsidR="006C2C09">
        <w:rPr>
          <w:rFonts w:ascii="Times New Roman" w:hAnsi="Times New Roman"/>
          <w:sz w:val="24"/>
          <w:szCs w:val="24"/>
          <w:lang w:val="en-GB"/>
        </w:rPr>
        <w:t xml:space="preserve"> </w:t>
      </w:r>
      <w:r w:rsidR="00591697" w:rsidRPr="00760F3B">
        <w:rPr>
          <w:rFonts w:ascii="Times New Roman" w:hAnsi="Times New Roman"/>
          <w:sz w:val="24"/>
          <w:szCs w:val="24"/>
          <w:lang w:val="en-GB"/>
        </w:rPr>
        <w:t xml:space="preserve">In the special case of lack of funds on the customer’s account, rejected credit transfers should not be counted, as they are rejected in the customer bank sphere on the sending side (which does not result in an actual transaction). By contrast, in this same case of lack of funds, rejected direct debits should be counted, as they are rejected in the interbank sphere on the receiving side (in this case an actual transaction is made and later rejected). </w:t>
      </w:r>
    </w:p>
    <w:p w14:paraId="71F304ED" w14:textId="55449850" w:rsidR="00C6014B" w:rsidRDefault="00C6014B" w:rsidP="00C6014B">
      <w:pPr>
        <w:spacing w:after="120" w:line="360" w:lineRule="auto"/>
        <w:jc w:val="both"/>
        <w:rPr>
          <w:rFonts w:ascii="Times New Roman" w:hAnsi="Times New Roman"/>
          <w:sz w:val="24"/>
          <w:szCs w:val="24"/>
          <w:lang w:val="en-GB"/>
        </w:rPr>
      </w:pPr>
      <w:r w:rsidRPr="00C6014B">
        <w:rPr>
          <w:rFonts w:ascii="Times New Roman" w:hAnsi="Times New Roman"/>
          <w:sz w:val="24"/>
          <w:szCs w:val="24"/>
          <w:lang w:val="en-GB"/>
        </w:rPr>
        <w:t xml:space="preserve">A reverse POS transaction is the opposite of a card-based payment transaction at a POS terminal. The retailer's PSP (initial acquiring PSP) and, where needed, the issuer </w:t>
      </w:r>
      <w:proofErr w:type="gramStart"/>
      <w:r w:rsidRPr="00C6014B">
        <w:rPr>
          <w:rFonts w:ascii="Times New Roman" w:hAnsi="Times New Roman"/>
          <w:sz w:val="24"/>
          <w:szCs w:val="24"/>
          <w:lang w:val="en-GB"/>
        </w:rPr>
        <w:t>report</w:t>
      </w:r>
      <w:proofErr w:type="gramEnd"/>
      <w:r w:rsidRPr="00C6014B">
        <w:rPr>
          <w:rFonts w:ascii="Times New Roman" w:hAnsi="Times New Roman"/>
          <w:sz w:val="24"/>
          <w:szCs w:val="24"/>
          <w:lang w:val="en-GB"/>
        </w:rPr>
        <w:t xml:space="preserve"> the transaction.</w:t>
      </w:r>
      <w:r w:rsidR="004242B0">
        <w:rPr>
          <w:rFonts w:ascii="Times New Roman" w:hAnsi="Times New Roman"/>
          <w:sz w:val="24"/>
          <w:szCs w:val="24"/>
          <w:lang w:val="en-GB"/>
        </w:rPr>
        <w:t xml:space="preserve"> </w:t>
      </w:r>
      <w:r w:rsidR="004242B0" w:rsidRPr="004242B0">
        <w:rPr>
          <w:rFonts w:ascii="Times New Roman" w:hAnsi="Times New Roman"/>
          <w:sz w:val="24"/>
          <w:szCs w:val="24"/>
          <w:lang w:val="en-GB"/>
        </w:rPr>
        <w:t>A reversal is a technical cancellation of a transaction. Before the settlement of the initial transaction, the reversal is deducted from the initial transaction and is not reported as a separate transaction.</w:t>
      </w:r>
    </w:p>
    <w:p w14:paraId="7263A68F" w14:textId="77777777" w:rsidR="006D58AE" w:rsidRDefault="00C6014B" w:rsidP="00760F3B">
      <w:pPr>
        <w:spacing w:after="120" w:line="360" w:lineRule="auto"/>
        <w:jc w:val="both"/>
        <w:rPr>
          <w:rFonts w:ascii="Times New Roman" w:hAnsi="Times New Roman"/>
          <w:sz w:val="24"/>
          <w:szCs w:val="24"/>
          <w:lang w:val="en-GB"/>
        </w:rPr>
      </w:pPr>
      <w:r w:rsidRPr="00C6014B">
        <w:rPr>
          <w:rFonts w:ascii="Times New Roman" w:hAnsi="Times New Roman"/>
          <w:sz w:val="24"/>
          <w:szCs w:val="24"/>
          <w:lang w:val="en-GB"/>
        </w:rPr>
        <w:t>A refund is usually a separate transaction</w:t>
      </w:r>
      <w:r w:rsidR="006D58AE">
        <w:rPr>
          <w:rFonts w:ascii="Times New Roman" w:hAnsi="Times New Roman"/>
          <w:sz w:val="24"/>
          <w:szCs w:val="24"/>
          <w:lang w:val="en-GB"/>
        </w:rPr>
        <w:t xml:space="preserve"> (i.e. </w:t>
      </w:r>
      <w:r w:rsidR="006D58AE" w:rsidRPr="006D58AE">
        <w:rPr>
          <w:rFonts w:ascii="Times New Roman" w:hAnsi="Times New Roman"/>
          <w:sz w:val="24"/>
          <w:szCs w:val="24"/>
          <w:lang w:val="en-GB"/>
        </w:rPr>
        <w:t>settled separately and independently of the original payment transaction)</w:t>
      </w:r>
      <w:r w:rsidRPr="00C6014B">
        <w:rPr>
          <w:rFonts w:ascii="Times New Roman" w:hAnsi="Times New Roman"/>
          <w:sz w:val="24"/>
          <w:szCs w:val="24"/>
          <w:lang w:val="en-GB"/>
        </w:rPr>
        <w:t xml:space="preserve"> which cannot be connected to the original transaction. Therefore, it should be reported as a separate transaction. </w:t>
      </w:r>
      <w:r w:rsidR="00C061C4" w:rsidRPr="00C061C4">
        <w:rPr>
          <w:rFonts w:ascii="Times New Roman" w:hAnsi="Times New Roman"/>
          <w:sz w:val="24"/>
          <w:szCs w:val="24"/>
          <w:lang w:val="en-GB"/>
        </w:rPr>
        <w:t xml:space="preserve">A refund should be reported according to the characteristics of </w:t>
      </w:r>
      <w:proofErr w:type="gramStart"/>
      <w:r w:rsidR="00C061C4" w:rsidRPr="00C061C4">
        <w:rPr>
          <w:rFonts w:ascii="Times New Roman" w:hAnsi="Times New Roman"/>
          <w:sz w:val="24"/>
          <w:szCs w:val="24"/>
          <w:lang w:val="en-GB"/>
        </w:rPr>
        <w:t>this transactions (independent of the original transaction)</w:t>
      </w:r>
      <w:proofErr w:type="gramEnd"/>
      <w:r w:rsidR="00C061C4" w:rsidRPr="00C061C4">
        <w:rPr>
          <w:rFonts w:ascii="Times New Roman" w:hAnsi="Times New Roman"/>
          <w:sz w:val="24"/>
          <w:szCs w:val="24"/>
          <w:lang w:val="en-GB"/>
        </w:rPr>
        <w:t>. This means that the exact reporting would then depend on the payment rails used for this refund transaction – i.e. in case of a card payment rail, it should be reported as a card payment sent by the acquiring PSP of the original transaction and a card payment received by the issuing PSP of the original transaction; in case the refund takes place via credit transfer, it should be reported accordingly (i.e. under credit transfers); etc.</w:t>
      </w:r>
      <w:r w:rsidR="006D58AE">
        <w:rPr>
          <w:rFonts w:ascii="Times New Roman" w:hAnsi="Times New Roman"/>
          <w:sz w:val="24"/>
          <w:szCs w:val="24"/>
          <w:lang w:val="en-GB"/>
        </w:rPr>
        <w:t xml:space="preserve"> </w:t>
      </w:r>
    </w:p>
    <w:p w14:paraId="7F09BB3F" w14:textId="45631D33" w:rsidR="00C061C4" w:rsidRDefault="006D58AE" w:rsidP="00760F3B">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The same approach should be followed for the reporting of OCT card transactions, i.e. </w:t>
      </w:r>
      <w:r w:rsidRPr="006D58AE">
        <w:rPr>
          <w:rFonts w:ascii="Times New Roman" w:hAnsi="Times New Roman"/>
          <w:sz w:val="24"/>
          <w:szCs w:val="24"/>
          <w:lang w:val="en-GB"/>
        </w:rPr>
        <w:t>for the purposes of the reporting, the two PSPs involved reverse their roles, i.e. the transaction should be reported as a card payment sent by the payee's PSP of the original transaction (i.e. the payer's PSP of the refund transaction) and a card payment received by the payer's PSP of the original transaction (i.e. the payee's PSP of the refund transaction)</w:t>
      </w:r>
      <w:r>
        <w:rPr>
          <w:rFonts w:ascii="Times New Roman" w:hAnsi="Times New Roman"/>
          <w:sz w:val="24"/>
          <w:szCs w:val="24"/>
          <w:lang w:val="en-GB"/>
        </w:rPr>
        <w:t xml:space="preserve">. </w:t>
      </w:r>
    </w:p>
    <w:p w14:paraId="5DF10A9E" w14:textId="2C4078B7" w:rsidR="004C05EF" w:rsidRDefault="00D625C9" w:rsidP="00760F3B">
      <w:pPr>
        <w:spacing w:after="120" w:line="360" w:lineRule="auto"/>
        <w:jc w:val="both"/>
        <w:rPr>
          <w:rFonts w:ascii="Times New Roman" w:hAnsi="Times New Roman"/>
          <w:sz w:val="24"/>
          <w:szCs w:val="24"/>
          <w:lang w:val="en-GB"/>
        </w:rPr>
      </w:pPr>
      <w:r>
        <w:rPr>
          <w:rFonts w:ascii="Times New Roman" w:hAnsi="Times New Roman"/>
          <w:sz w:val="24"/>
          <w:szCs w:val="24"/>
          <w:lang w:val="en-GB"/>
        </w:rPr>
        <w:t>Recalls</w:t>
      </w:r>
      <w:r w:rsidR="004C05EF" w:rsidRPr="004C05EF">
        <w:rPr>
          <w:rFonts w:ascii="Times New Roman" w:hAnsi="Times New Roman"/>
          <w:sz w:val="24"/>
          <w:szCs w:val="24"/>
          <w:lang w:val="en-GB"/>
        </w:rPr>
        <w:t xml:space="preserve"> should</w:t>
      </w:r>
      <w:r w:rsidR="004C05EF">
        <w:rPr>
          <w:rFonts w:ascii="Times New Roman" w:hAnsi="Times New Roman"/>
          <w:sz w:val="24"/>
          <w:szCs w:val="24"/>
          <w:lang w:val="en-GB"/>
        </w:rPr>
        <w:t xml:space="preserve"> also</w:t>
      </w:r>
      <w:r w:rsidR="004C05EF" w:rsidRPr="004C05EF">
        <w:rPr>
          <w:rFonts w:ascii="Times New Roman" w:hAnsi="Times New Roman"/>
          <w:sz w:val="24"/>
          <w:szCs w:val="24"/>
          <w:lang w:val="en-GB"/>
        </w:rPr>
        <w:t xml:space="preserve"> be reported as separate transactions according to the payment channel and the initiation channel used.</w:t>
      </w:r>
      <w:r w:rsidR="004C05EF">
        <w:rPr>
          <w:rFonts w:ascii="Times New Roman" w:hAnsi="Times New Roman"/>
          <w:sz w:val="24"/>
          <w:szCs w:val="24"/>
          <w:lang w:val="en-GB"/>
        </w:rPr>
        <w:t xml:space="preserve"> For instance, </w:t>
      </w:r>
      <w:r w:rsidR="004C05EF" w:rsidRPr="004C05EF">
        <w:rPr>
          <w:rFonts w:ascii="Times New Roman" w:hAnsi="Times New Roman"/>
          <w:sz w:val="24"/>
          <w:szCs w:val="24"/>
          <w:lang w:val="en-US"/>
        </w:rPr>
        <w:t xml:space="preserve">the institution (PSP) initiating the original credit transfer (payer’s PSP of the original transaction) will be the beneficiary PSP in the recall transaction and the one receiving the funds of the recall (i.e. </w:t>
      </w:r>
      <w:r w:rsidR="004C05EF">
        <w:rPr>
          <w:rFonts w:ascii="Times New Roman" w:hAnsi="Times New Roman"/>
          <w:sz w:val="24"/>
          <w:szCs w:val="24"/>
          <w:lang w:val="en-US"/>
        </w:rPr>
        <w:t xml:space="preserve">shall report the recall under </w:t>
      </w:r>
      <w:r w:rsidR="004C05EF" w:rsidRPr="004C05EF">
        <w:rPr>
          <w:rFonts w:ascii="Times New Roman" w:hAnsi="Times New Roman"/>
          <w:sz w:val="24"/>
          <w:szCs w:val="24"/>
          <w:lang w:val="en-US"/>
        </w:rPr>
        <w:t xml:space="preserve">‘Credit transfers received’), while the payee’s PSP in the original transaction becomes later the PSP sending the funds after giving a positive response to the recall request (i.e. </w:t>
      </w:r>
      <w:r w:rsidR="004C05EF">
        <w:rPr>
          <w:rFonts w:ascii="Times New Roman" w:hAnsi="Times New Roman"/>
          <w:sz w:val="24"/>
          <w:szCs w:val="24"/>
          <w:lang w:val="en-US"/>
        </w:rPr>
        <w:t xml:space="preserve">shall report the recall under </w:t>
      </w:r>
      <w:r w:rsidR="004C05EF" w:rsidRPr="004C05EF">
        <w:rPr>
          <w:rFonts w:ascii="Times New Roman" w:hAnsi="Times New Roman"/>
          <w:sz w:val="24"/>
          <w:szCs w:val="24"/>
          <w:lang w:val="en-US"/>
        </w:rPr>
        <w:t>‘Credit transfers sent’).</w:t>
      </w:r>
    </w:p>
    <w:p w14:paraId="0EDD6875" w14:textId="1425775E" w:rsidR="00591697" w:rsidRDefault="00591697" w:rsidP="00760F3B">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Transactions initiated via digital wallets are reported as transactions according to the payment service that is used.</w:t>
      </w:r>
    </w:p>
    <w:tbl>
      <w:tblPr>
        <w:tblStyle w:val="TableGrid"/>
        <w:tblW w:w="9634" w:type="dxa"/>
        <w:tblLook w:val="04A0" w:firstRow="1" w:lastRow="0" w:firstColumn="1" w:lastColumn="0" w:noHBand="0" w:noVBand="1"/>
      </w:tblPr>
      <w:tblGrid>
        <w:gridCol w:w="2483"/>
        <w:gridCol w:w="7151"/>
      </w:tblGrid>
      <w:tr w:rsidR="00591697" w:rsidRPr="00F53249" w14:paraId="2BB1044E" w14:textId="77777777" w:rsidTr="002D24D2">
        <w:tc>
          <w:tcPr>
            <w:tcW w:w="9634" w:type="dxa"/>
            <w:gridSpan w:val="2"/>
            <w:shd w:val="clear" w:color="auto" w:fill="003199"/>
          </w:tcPr>
          <w:p w14:paraId="5EFD04E1" w14:textId="73733189" w:rsidR="00591697" w:rsidRPr="00760F3B" w:rsidRDefault="00CC4F19" w:rsidP="000F1F24">
            <w:pPr>
              <w:spacing w:after="120" w:line="360" w:lineRule="auto"/>
              <w:jc w:val="both"/>
              <w:rPr>
                <w:rFonts w:ascii="Times New Roman" w:hAnsi="Times New Roman"/>
                <w:b/>
                <w:bCs/>
                <w:sz w:val="24"/>
                <w:szCs w:val="24"/>
                <w:lang w:val="en-GB"/>
              </w:rPr>
            </w:pPr>
            <w:r>
              <w:rPr>
                <w:rFonts w:ascii="Times New Roman" w:hAnsi="Times New Roman"/>
                <w:b/>
                <w:bCs/>
                <w:sz w:val="24"/>
                <w:szCs w:val="24"/>
                <w:lang w:val="en-GB"/>
              </w:rPr>
              <w:lastRenderedPageBreak/>
              <w:t>Credit T</w:t>
            </w:r>
            <w:r w:rsidR="00591697" w:rsidRPr="00760F3B">
              <w:rPr>
                <w:rFonts w:ascii="Times New Roman" w:hAnsi="Times New Roman"/>
                <w:b/>
                <w:bCs/>
                <w:sz w:val="24"/>
                <w:szCs w:val="24"/>
                <w:lang w:val="en-GB"/>
              </w:rPr>
              <w:t xml:space="preserve">ransfers </w:t>
            </w:r>
            <w:r>
              <w:rPr>
                <w:rFonts w:ascii="Times New Roman" w:hAnsi="Times New Roman"/>
                <w:b/>
                <w:bCs/>
                <w:sz w:val="24"/>
                <w:szCs w:val="24"/>
                <w:lang w:val="en-GB"/>
              </w:rPr>
              <w:t>S</w:t>
            </w:r>
            <w:r w:rsidR="00591697" w:rsidRPr="00760F3B">
              <w:rPr>
                <w:rFonts w:ascii="Times New Roman" w:hAnsi="Times New Roman"/>
                <w:b/>
                <w:bCs/>
                <w:sz w:val="24"/>
                <w:szCs w:val="24"/>
                <w:lang w:val="en-GB"/>
              </w:rPr>
              <w:t>ent</w:t>
            </w:r>
            <w:r w:rsidR="000F1F24">
              <w:rPr>
                <w:rFonts w:ascii="Times New Roman" w:hAnsi="Times New Roman"/>
                <w:b/>
                <w:bCs/>
                <w:sz w:val="24"/>
                <w:szCs w:val="24"/>
                <w:lang w:val="en-GB"/>
              </w:rPr>
              <w:t xml:space="preserve"> </w:t>
            </w:r>
            <w:r w:rsidR="000F1F24" w:rsidRPr="000F1F24">
              <w:rPr>
                <w:rFonts w:ascii="Times New Roman" w:hAnsi="Times New Roman"/>
                <w:i/>
                <w:lang w:val="en-GB"/>
              </w:rPr>
              <w:t>(</w:t>
            </w:r>
            <w:r w:rsidR="000F1F24">
              <w:rPr>
                <w:rFonts w:ascii="Times New Roman" w:hAnsi="Times New Roman"/>
                <w:i/>
                <w:sz w:val="24"/>
                <w:szCs w:val="24"/>
                <w:lang w:val="en-GB"/>
              </w:rPr>
              <w:t>refers to worksheet</w:t>
            </w:r>
            <w:r w:rsidR="000F1F24" w:rsidRPr="000F1F24">
              <w:rPr>
                <w:rFonts w:ascii="Times New Roman" w:hAnsi="Times New Roman"/>
                <w:i/>
                <w:sz w:val="24"/>
                <w:szCs w:val="24"/>
                <w:lang w:val="en-GB"/>
              </w:rPr>
              <w:t xml:space="preserve"> </w:t>
            </w:r>
            <w:r w:rsidR="000F1F24">
              <w:rPr>
                <w:rFonts w:ascii="Times New Roman" w:hAnsi="Times New Roman"/>
                <w:i/>
                <w:sz w:val="24"/>
                <w:szCs w:val="24"/>
                <w:lang w:val="en-GB"/>
              </w:rPr>
              <w:t>5</w:t>
            </w:r>
            <w:r w:rsidR="000F1F24" w:rsidRPr="000F1F24">
              <w:rPr>
                <w:rFonts w:ascii="Times New Roman" w:hAnsi="Times New Roman"/>
                <w:i/>
                <w:lang w:val="en-GB"/>
              </w:rPr>
              <w:t>)</w:t>
            </w:r>
          </w:p>
        </w:tc>
      </w:tr>
      <w:tr w:rsidR="00591697" w:rsidRPr="0067610E" w14:paraId="70EA1B40" w14:textId="77777777" w:rsidTr="002D24D2">
        <w:tc>
          <w:tcPr>
            <w:tcW w:w="2483" w:type="dxa"/>
          </w:tcPr>
          <w:p w14:paraId="40FEF2A3" w14:textId="77777777" w:rsidR="00591697" w:rsidRPr="00FB6888" w:rsidRDefault="00591697" w:rsidP="003D1E63">
            <w:pPr>
              <w:spacing w:after="120" w:line="360" w:lineRule="auto"/>
              <w:rPr>
                <w:rFonts w:ascii="Times New Roman" w:hAnsi="Times New Roman"/>
                <w:b/>
                <w:sz w:val="24"/>
                <w:szCs w:val="24"/>
                <w:lang w:val="en-GB"/>
              </w:rPr>
            </w:pPr>
            <w:r w:rsidRPr="00FB6888">
              <w:rPr>
                <w:rFonts w:ascii="Times New Roman" w:hAnsi="Times New Roman"/>
                <w:b/>
                <w:sz w:val="24"/>
                <w:szCs w:val="24"/>
                <w:lang w:val="en-GB"/>
              </w:rPr>
              <w:t>Credit transfer</w:t>
            </w:r>
            <w:r w:rsidR="00850EF0" w:rsidRPr="00FB6888">
              <w:rPr>
                <w:rFonts w:ascii="Times New Roman" w:hAnsi="Times New Roman"/>
                <w:b/>
                <w:sz w:val="24"/>
                <w:szCs w:val="24"/>
                <w:lang w:val="en-GB"/>
              </w:rPr>
              <w:t>s</w:t>
            </w:r>
          </w:p>
        </w:tc>
        <w:tc>
          <w:tcPr>
            <w:tcW w:w="7151" w:type="dxa"/>
          </w:tcPr>
          <w:p w14:paraId="0FAF29F0" w14:textId="77777777" w:rsidR="00591697" w:rsidRPr="00760F3B" w:rsidRDefault="00591697" w:rsidP="00760F3B">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Report the number and value of the credit trans</w:t>
            </w:r>
            <w:r w:rsidR="000B1745">
              <w:rPr>
                <w:rFonts w:ascii="Times New Roman" w:hAnsi="Times New Roman"/>
                <w:sz w:val="24"/>
                <w:szCs w:val="24"/>
                <w:lang w:val="en-GB"/>
              </w:rPr>
              <w:t>fers</w:t>
            </w:r>
            <w:r w:rsidR="00D9519A">
              <w:rPr>
                <w:rStyle w:val="FootnoteReference"/>
                <w:rFonts w:ascii="Times New Roman" w:hAnsi="Times New Roman"/>
                <w:sz w:val="24"/>
                <w:szCs w:val="24"/>
                <w:lang w:val="en-GB"/>
              </w:rPr>
              <w:footnoteReference w:id="43"/>
            </w:r>
            <w:r w:rsidR="000B1745">
              <w:rPr>
                <w:rFonts w:ascii="Times New Roman" w:hAnsi="Times New Roman"/>
                <w:sz w:val="24"/>
                <w:szCs w:val="24"/>
                <w:lang w:val="en-GB"/>
              </w:rPr>
              <w:t xml:space="preserve">. </w:t>
            </w:r>
          </w:p>
          <w:p w14:paraId="4DE8A40B" w14:textId="77777777" w:rsidR="0067610E" w:rsidRPr="00760F3B" w:rsidRDefault="00591697" w:rsidP="00BF60CB">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Credit transfers ar</w:t>
            </w:r>
            <w:r w:rsidR="003D1F49">
              <w:rPr>
                <w:rFonts w:ascii="Times New Roman" w:hAnsi="Times New Roman"/>
                <w:sz w:val="24"/>
                <w:szCs w:val="24"/>
                <w:lang w:val="en-GB"/>
              </w:rPr>
              <w:t>e further broken down between ‘I</w:t>
            </w:r>
            <w:r w:rsidRPr="00760F3B">
              <w:rPr>
                <w:rFonts w:ascii="Times New Roman" w:hAnsi="Times New Roman"/>
                <w:sz w:val="24"/>
                <w:szCs w:val="24"/>
                <w:lang w:val="en-GB"/>
              </w:rPr>
              <w:t>nitiated in paper-based form’</w:t>
            </w:r>
            <w:bookmarkStart w:id="30" w:name="_Ref81893913"/>
            <w:r w:rsidR="004F1776">
              <w:rPr>
                <w:rStyle w:val="FootnoteReference"/>
                <w:rFonts w:ascii="Times New Roman" w:hAnsi="Times New Roman"/>
                <w:sz w:val="24"/>
                <w:szCs w:val="24"/>
                <w:lang w:val="en-GB"/>
              </w:rPr>
              <w:footnoteReference w:id="44"/>
            </w:r>
            <w:bookmarkEnd w:id="30"/>
            <w:r w:rsidR="003D1F49">
              <w:rPr>
                <w:rFonts w:ascii="Times New Roman" w:hAnsi="Times New Roman"/>
                <w:sz w:val="24"/>
                <w:szCs w:val="24"/>
                <w:lang w:val="en-GB"/>
              </w:rPr>
              <w:t>, ‘I</w:t>
            </w:r>
            <w:r w:rsidRPr="00760F3B">
              <w:rPr>
                <w:rFonts w:ascii="Times New Roman" w:hAnsi="Times New Roman"/>
                <w:sz w:val="24"/>
                <w:szCs w:val="24"/>
                <w:lang w:val="en-GB"/>
              </w:rPr>
              <w:t>nitiated electronically’</w:t>
            </w:r>
            <w:bookmarkStart w:id="31" w:name="_Ref81216064"/>
            <w:r w:rsidR="00443316">
              <w:rPr>
                <w:rStyle w:val="FootnoteReference"/>
                <w:rFonts w:ascii="Times New Roman" w:hAnsi="Times New Roman"/>
                <w:sz w:val="24"/>
                <w:szCs w:val="24"/>
                <w:lang w:val="en-GB"/>
              </w:rPr>
              <w:footnoteReference w:id="45"/>
            </w:r>
            <w:bookmarkEnd w:id="31"/>
            <w:r w:rsidR="003D1F49">
              <w:rPr>
                <w:rFonts w:ascii="Times New Roman" w:hAnsi="Times New Roman"/>
                <w:sz w:val="24"/>
                <w:szCs w:val="24"/>
                <w:lang w:val="en-GB"/>
              </w:rPr>
              <w:t xml:space="preserve"> and ‘O</w:t>
            </w:r>
            <w:r w:rsidRPr="00760F3B">
              <w:rPr>
                <w:rFonts w:ascii="Times New Roman" w:hAnsi="Times New Roman"/>
                <w:sz w:val="24"/>
                <w:szCs w:val="24"/>
                <w:lang w:val="en-GB"/>
              </w:rPr>
              <w:t>ther’</w:t>
            </w:r>
            <w:bookmarkStart w:id="32" w:name="_Ref81893948"/>
            <w:r w:rsidR="006C291F">
              <w:rPr>
                <w:rStyle w:val="FootnoteReference"/>
                <w:rFonts w:ascii="Times New Roman" w:hAnsi="Times New Roman"/>
                <w:sz w:val="24"/>
                <w:szCs w:val="24"/>
                <w:lang w:val="en-GB"/>
              </w:rPr>
              <w:footnoteReference w:id="46"/>
            </w:r>
            <w:bookmarkEnd w:id="32"/>
            <w:r w:rsidRPr="00760F3B">
              <w:rPr>
                <w:rFonts w:ascii="Times New Roman" w:hAnsi="Times New Roman"/>
                <w:sz w:val="24"/>
                <w:szCs w:val="24"/>
                <w:lang w:val="en-GB"/>
              </w:rPr>
              <w:t xml:space="preserve">. </w:t>
            </w:r>
            <w:r w:rsidR="00FC4702">
              <w:rPr>
                <w:rFonts w:ascii="Times New Roman" w:hAnsi="Times New Roman"/>
                <w:sz w:val="24"/>
                <w:szCs w:val="24"/>
                <w:lang w:val="en-GB"/>
              </w:rPr>
              <w:t>These</w:t>
            </w:r>
            <w:r w:rsidRPr="00760F3B">
              <w:rPr>
                <w:rFonts w:ascii="Times New Roman" w:hAnsi="Times New Roman"/>
                <w:sz w:val="24"/>
                <w:szCs w:val="24"/>
                <w:lang w:val="en-GB"/>
              </w:rPr>
              <w:t xml:space="preserve"> sub-cat</w:t>
            </w:r>
            <w:r w:rsidR="00FC4702">
              <w:rPr>
                <w:rFonts w:ascii="Times New Roman" w:hAnsi="Times New Roman"/>
                <w:sz w:val="24"/>
                <w:szCs w:val="24"/>
                <w:lang w:val="en-GB"/>
              </w:rPr>
              <w:t>egories are mutually exclusive.</w:t>
            </w:r>
          </w:p>
        </w:tc>
      </w:tr>
      <w:tr w:rsidR="00591697" w:rsidRPr="00F53249" w14:paraId="20EDAA11" w14:textId="77777777" w:rsidTr="002D24D2">
        <w:tc>
          <w:tcPr>
            <w:tcW w:w="2483" w:type="dxa"/>
          </w:tcPr>
          <w:p w14:paraId="60245D9C" w14:textId="77777777" w:rsidR="00591697" w:rsidRPr="00760F3B" w:rsidRDefault="00C13760" w:rsidP="003D1E63">
            <w:pPr>
              <w:spacing w:after="120" w:line="360" w:lineRule="auto"/>
              <w:rPr>
                <w:rFonts w:ascii="Times New Roman" w:hAnsi="Times New Roman"/>
                <w:sz w:val="24"/>
                <w:szCs w:val="24"/>
                <w:lang w:val="en-GB"/>
              </w:rPr>
            </w:pPr>
            <w:r>
              <w:rPr>
                <w:rFonts w:ascii="Times New Roman" w:hAnsi="Times New Roman"/>
                <w:sz w:val="24"/>
                <w:szCs w:val="24"/>
                <w:lang w:val="en-GB"/>
              </w:rPr>
              <w:t>‘</w:t>
            </w:r>
            <w:r w:rsidR="00591697" w:rsidRPr="00760F3B">
              <w:rPr>
                <w:rFonts w:ascii="Times New Roman" w:hAnsi="Times New Roman"/>
                <w:sz w:val="24"/>
                <w:szCs w:val="24"/>
                <w:lang w:val="en-GB"/>
              </w:rPr>
              <w:t>Initiated by PISP</w:t>
            </w:r>
            <w:r>
              <w:rPr>
                <w:rFonts w:ascii="Times New Roman" w:hAnsi="Times New Roman"/>
                <w:sz w:val="24"/>
                <w:szCs w:val="24"/>
                <w:lang w:val="en-GB"/>
              </w:rPr>
              <w:t>’</w:t>
            </w:r>
          </w:p>
          <w:p w14:paraId="6E281125" w14:textId="77777777" w:rsidR="00591697" w:rsidRPr="00760F3B" w:rsidRDefault="00591697" w:rsidP="003D1E63">
            <w:pPr>
              <w:spacing w:after="120" w:line="360" w:lineRule="auto"/>
              <w:rPr>
                <w:rFonts w:ascii="Times New Roman" w:hAnsi="Times New Roman"/>
                <w:sz w:val="24"/>
                <w:szCs w:val="24"/>
                <w:lang w:val="en-GB"/>
              </w:rPr>
            </w:pPr>
          </w:p>
        </w:tc>
        <w:tc>
          <w:tcPr>
            <w:tcW w:w="7151" w:type="dxa"/>
          </w:tcPr>
          <w:p w14:paraId="1226B2BA" w14:textId="31B62382" w:rsidR="000771AF" w:rsidRDefault="00BE7E22" w:rsidP="000771AF">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This </w:t>
            </w:r>
            <w:r w:rsidR="000639FF">
              <w:rPr>
                <w:rFonts w:ascii="Times New Roman" w:hAnsi="Times New Roman"/>
                <w:sz w:val="24"/>
                <w:szCs w:val="24"/>
                <w:lang w:val="en-GB"/>
              </w:rPr>
              <w:t>item should be reported by the Reporting A</w:t>
            </w:r>
            <w:r w:rsidR="00FE5B9F">
              <w:rPr>
                <w:rFonts w:ascii="Times New Roman" w:hAnsi="Times New Roman"/>
                <w:sz w:val="24"/>
                <w:szCs w:val="24"/>
                <w:lang w:val="en-GB"/>
              </w:rPr>
              <w:t xml:space="preserve">gents </w:t>
            </w:r>
            <w:r>
              <w:rPr>
                <w:rFonts w:ascii="Times New Roman" w:hAnsi="Times New Roman"/>
                <w:sz w:val="24"/>
                <w:szCs w:val="24"/>
                <w:lang w:val="en-GB"/>
              </w:rPr>
              <w:t xml:space="preserve">acting in </w:t>
            </w:r>
            <w:r w:rsidR="00FE5B9F">
              <w:rPr>
                <w:rFonts w:ascii="Times New Roman" w:hAnsi="Times New Roman"/>
                <w:sz w:val="24"/>
                <w:szCs w:val="24"/>
                <w:lang w:val="en-GB"/>
              </w:rPr>
              <w:t>their capacity as ASPSPs</w:t>
            </w:r>
            <w:r>
              <w:rPr>
                <w:rFonts w:ascii="Times New Roman" w:hAnsi="Times New Roman"/>
                <w:sz w:val="24"/>
                <w:szCs w:val="24"/>
                <w:lang w:val="en-GB"/>
              </w:rPr>
              <w:t xml:space="preserve"> and</w:t>
            </w:r>
            <w:r w:rsidR="00FE5B9F">
              <w:rPr>
                <w:rFonts w:ascii="Times New Roman" w:hAnsi="Times New Roman"/>
                <w:sz w:val="24"/>
                <w:szCs w:val="24"/>
                <w:lang w:val="en-GB"/>
              </w:rPr>
              <w:t xml:space="preserve"> should include only payments initiated by third</w:t>
            </w:r>
            <w:r w:rsidR="006667AB">
              <w:rPr>
                <w:rStyle w:val="FootnoteReference"/>
                <w:rFonts w:ascii="Times New Roman" w:hAnsi="Times New Roman"/>
                <w:sz w:val="24"/>
                <w:szCs w:val="24"/>
                <w:lang w:val="en-GB"/>
              </w:rPr>
              <w:footnoteReference w:id="47"/>
            </w:r>
            <w:r w:rsidR="00FE5B9F">
              <w:rPr>
                <w:rFonts w:ascii="Times New Roman" w:hAnsi="Times New Roman"/>
                <w:sz w:val="24"/>
                <w:szCs w:val="24"/>
                <w:lang w:val="en-GB"/>
              </w:rPr>
              <w:t xml:space="preserve"> party PISPs, on behalf of payers that have payment accounts with that </w:t>
            </w:r>
            <w:proofErr w:type="gramStart"/>
            <w:r w:rsidR="00FE5B9F">
              <w:rPr>
                <w:rFonts w:ascii="Times New Roman" w:hAnsi="Times New Roman"/>
                <w:sz w:val="24"/>
                <w:szCs w:val="24"/>
                <w:lang w:val="en-GB"/>
              </w:rPr>
              <w:t>particular reporting</w:t>
            </w:r>
            <w:proofErr w:type="gramEnd"/>
            <w:r w:rsidR="00FE5B9F">
              <w:rPr>
                <w:rFonts w:ascii="Times New Roman" w:hAnsi="Times New Roman"/>
                <w:sz w:val="24"/>
                <w:szCs w:val="24"/>
                <w:lang w:val="en-GB"/>
              </w:rPr>
              <w:t xml:space="preserve"> ASPSPs</w:t>
            </w:r>
            <w:r w:rsidR="002D24D2">
              <w:rPr>
                <w:rFonts w:ascii="Times New Roman" w:hAnsi="Times New Roman"/>
                <w:sz w:val="24"/>
                <w:szCs w:val="24"/>
                <w:lang w:val="en-GB"/>
              </w:rPr>
              <w:t xml:space="preserve"> (i.e. ASPSPs</w:t>
            </w:r>
            <w:r w:rsidR="002D24D2" w:rsidRPr="002D24D2">
              <w:rPr>
                <w:rFonts w:ascii="Times New Roman" w:hAnsi="Times New Roman"/>
                <w:sz w:val="24"/>
                <w:szCs w:val="24"/>
                <w:lang w:val="en-GB"/>
              </w:rPr>
              <w:t xml:space="preserve"> </w:t>
            </w:r>
            <w:r w:rsidR="002D24D2">
              <w:rPr>
                <w:rFonts w:ascii="Times New Roman" w:hAnsi="Times New Roman"/>
                <w:sz w:val="24"/>
                <w:szCs w:val="24"/>
                <w:lang w:val="en-GB"/>
              </w:rPr>
              <w:t xml:space="preserve">should </w:t>
            </w:r>
            <w:r w:rsidR="002D24D2" w:rsidRPr="002D24D2">
              <w:rPr>
                <w:rFonts w:ascii="Times New Roman" w:hAnsi="Times New Roman"/>
                <w:sz w:val="24"/>
                <w:szCs w:val="24"/>
                <w:lang w:val="en-GB"/>
              </w:rPr>
              <w:t>report the number and value of credit transfers initiated by PISPs from their accounts)</w:t>
            </w:r>
            <w:r w:rsidR="00FE5B9F">
              <w:rPr>
                <w:rFonts w:ascii="Times New Roman" w:hAnsi="Times New Roman"/>
                <w:sz w:val="24"/>
                <w:szCs w:val="24"/>
                <w:lang w:val="en-GB"/>
              </w:rPr>
              <w:t>.</w:t>
            </w:r>
          </w:p>
          <w:p w14:paraId="71A34DD4" w14:textId="77777777" w:rsidR="008C4750" w:rsidRPr="00760F3B" w:rsidRDefault="00CB73B1" w:rsidP="00D24B45">
            <w:pPr>
              <w:spacing w:after="120" w:line="360" w:lineRule="auto"/>
              <w:jc w:val="both"/>
              <w:rPr>
                <w:rFonts w:ascii="Times New Roman" w:hAnsi="Times New Roman"/>
                <w:sz w:val="24"/>
                <w:szCs w:val="24"/>
                <w:lang w:val="en-GB"/>
              </w:rPr>
            </w:pPr>
            <w:r w:rsidRPr="00C436A0">
              <w:rPr>
                <w:rFonts w:ascii="Times New Roman" w:hAnsi="Times New Roman"/>
                <w:sz w:val="24"/>
                <w:szCs w:val="24"/>
                <w:lang w:val="en-GB"/>
              </w:rPr>
              <w:t xml:space="preserve">The </w:t>
            </w:r>
            <w:r>
              <w:rPr>
                <w:rFonts w:ascii="Times New Roman" w:hAnsi="Times New Roman"/>
                <w:sz w:val="24"/>
                <w:szCs w:val="24"/>
                <w:lang w:val="en-GB"/>
              </w:rPr>
              <w:t>geographical</w:t>
            </w:r>
            <w:r w:rsidRPr="00C436A0">
              <w:rPr>
                <w:rFonts w:ascii="Times New Roman" w:hAnsi="Times New Roman"/>
                <w:sz w:val="24"/>
                <w:szCs w:val="24"/>
                <w:lang w:val="en-GB"/>
              </w:rPr>
              <w:t xml:space="preserve"> breakdown refers to the country </w:t>
            </w:r>
            <w:r w:rsidRPr="008C4750">
              <w:rPr>
                <w:rFonts w:ascii="Times New Roman" w:hAnsi="Times New Roman"/>
                <w:sz w:val="24"/>
                <w:szCs w:val="24"/>
                <w:lang w:val="en-GB"/>
              </w:rPr>
              <w:t>where the account of the payee is located</w:t>
            </w:r>
            <w:r w:rsidRPr="00760F3B">
              <w:rPr>
                <w:rFonts w:ascii="Times New Roman" w:hAnsi="Times New Roman"/>
                <w:sz w:val="24"/>
                <w:szCs w:val="24"/>
                <w:lang w:val="en-GB"/>
              </w:rPr>
              <w:t>.</w:t>
            </w:r>
          </w:p>
        </w:tc>
      </w:tr>
      <w:tr w:rsidR="00591697" w:rsidRPr="002D24D2" w14:paraId="59BEB9FF" w14:textId="77777777" w:rsidTr="002D24D2">
        <w:tc>
          <w:tcPr>
            <w:tcW w:w="9634" w:type="dxa"/>
            <w:gridSpan w:val="2"/>
            <w:shd w:val="clear" w:color="auto" w:fill="B4C6E7" w:themeFill="accent5" w:themeFillTint="66"/>
          </w:tcPr>
          <w:p w14:paraId="58A1FEF4" w14:textId="77777777" w:rsidR="00443316" w:rsidRPr="00760F3B" w:rsidRDefault="00443316" w:rsidP="00760F3B">
            <w:pPr>
              <w:spacing w:after="120" w:line="360" w:lineRule="auto"/>
              <w:jc w:val="both"/>
              <w:rPr>
                <w:rFonts w:ascii="Times New Roman" w:hAnsi="Times New Roman"/>
                <w:b/>
                <w:sz w:val="24"/>
                <w:szCs w:val="24"/>
                <w:lang w:val="en-GB"/>
              </w:rPr>
            </w:pPr>
            <w:r w:rsidRPr="00443316">
              <w:rPr>
                <w:rFonts w:ascii="Times New Roman" w:hAnsi="Times New Roman"/>
                <w:b/>
                <w:sz w:val="24"/>
                <w:szCs w:val="24"/>
                <w:lang w:val="en-GB"/>
              </w:rPr>
              <w:t>Credit transfers initiated electronically</w:t>
            </w:r>
          </w:p>
        </w:tc>
      </w:tr>
      <w:tr w:rsidR="00591697" w:rsidRPr="00F53249" w14:paraId="66AC1BE0" w14:textId="77777777" w:rsidTr="002D24D2">
        <w:tc>
          <w:tcPr>
            <w:tcW w:w="2483" w:type="dxa"/>
          </w:tcPr>
          <w:p w14:paraId="04F23FEF" w14:textId="77777777" w:rsidR="00850EF0" w:rsidRPr="00850EF0" w:rsidRDefault="00850EF0" w:rsidP="003D1E63">
            <w:pPr>
              <w:spacing w:after="120" w:line="360" w:lineRule="auto"/>
              <w:rPr>
                <w:rFonts w:ascii="Times New Roman" w:hAnsi="Times New Roman"/>
                <w:sz w:val="24"/>
                <w:szCs w:val="24"/>
                <w:lang w:val="en-GB"/>
              </w:rPr>
            </w:pPr>
            <w:r>
              <w:rPr>
                <w:rFonts w:ascii="Times New Roman" w:hAnsi="Times New Roman"/>
                <w:sz w:val="24"/>
                <w:szCs w:val="24"/>
                <w:lang w:val="en-GB"/>
              </w:rPr>
              <w:t>‘</w:t>
            </w:r>
            <w:r w:rsidRPr="00850EF0">
              <w:rPr>
                <w:rFonts w:ascii="Times New Roman" w:hAnsi="Times New Roman"/>
                <w:sz w:val="24"/>
                <w:szCs w:val="24"/>
                <w:lang w:val="en-GB"/>
              </w:rPr>
              <w:t>Initiated in a file/batch</w:t>
            </w:r>
            <w:r>
              <w:rPr>
                <w:rFonts w:ascii="Times New Roman" w:hAnsi="Times New Roman"/>
                <w:sz w:val="24"/>
                <w:szCs w:val="24"/>
                <w:lang w:val="en-GB"/>
              </w:rPr>
              <w:t>’</w:t>
            </w:r>
            <w:r w:rsidRPr="00850EF0">
              <w:rPr>
                <w:rFonts w:ascii="Times New Roman" w:hAnsi="Times New Roman"/>
                <w:sz w:val="24"/>
                <w:szCs w:val="24"/>
                <w:lang w:val="en-GB"/>
              </w:rPr>
              <w:t xml:space="preserve"> and </w:t>
            </w:r>
            <w:r>
              <w:rPr>
                <w:rFonts w:ascii="Times New Roman" w:hAnsi="Times New Roman"/>
                <w:sz w:val="24"/>
                <w:szCs w:val="24"/>
                <w:lang w:val="en-GB"/>
              </w:rPr>
              <w:t>‘</w:t>
            </w:r>
            <w:r w:rsidRPr="00850EF0">
              <w:rPr>
                <w:rFonts w:ascii="Times New Roman" w:hAnsi="Times New Roman"/>
                <w:sz w:val="24"/>
                <w:szCs w:val="24"/>
                <w:lang w:val="en-GB"/>
              </w:rPr>
              <w:t xml:space="preserve">Initiated on a single payment </w:t>
            </w:r>
            <w:proofErr w:type="spellStart"/>
            <w:r w:rsidRPr="00850EF0">
              <w:rPr>
                <w:rFonts w:ascii="Times New Roman" w:hAnsi="Times New Roman"/>
                <w:sz w:val="24"/>
                <w:szCs w:val="24"/>
                <w:lang w:val="en-GB"/>
              </w:rPr>
              <w:t>basis</w:t>
            </w:r>
            <w:r>
              <w:rPr>
                <w:rFonts w:ascii="Times New Roman" w:hAnsi="Times New Roman"/>
                <w:sz w:val="24"/>
                <w:szCs w:val="24"/>
                <w:lang w:val="en-GB"/>
              </w:rPr>
              <w:t>’</w:t>
            </w:r>
            <w:proofErr w:type="spellEnd"/>
          </w:p>
          <w:p w14:paraId="5C8B7490" w14:textId="77777777" w:rsidR="00850EF0" w:rsidRDefault="00850EF0" w:rsidP="003D1E63">
            <w:pPr>
              <w:spacing w:after="120" w:line="360" w:lineRule="auto"/>
              <w:rPr>
                <w:rFonts w:ascii="Times New Roman" w:hAnsi="Times New Roman"/>
                <w:sz w:val="24"/>
                <w:szCs w:val="24"/>
                <w:u w:val="single"/>
                <w:lang w:val="en-GB"/>
              </w:rPr>
            </w:pPr>
          </w:p>
          <w:p w14:paraId="6D038FC0" w14:textId="77777777" w:rsidR="00591697" w:rsidRPr="003C42A7" w:rsidRDefault="00591697" w:rsidP="00850EF0">
            <w:pPr>
              <w:spacing w:after="120" w:line="360" w:lineRule="auto"/>
              <w:rPr>
                <w:rFonts w:ascii="Times New Roman" w:hAnsi="Times New Roman"/>
                <w:sz w:val="24"/>
                <w:szCs w:val="24"/>
                <w:lang w:val="en-GB"/>
              </w:rPr>
            </w:pPr>
          </w:p>
        </w:tc>
        <w:tc>
          <w:tcPr>
            <w:tcW w:w="7151" w:type="dxa"/>
          </w:tcPr>
          <w:p w14:paraId="3CAEB7FB" w14:textId="7FBAD42E" w:rsidR="00B81B73" w:rsidRDefault="00591697" w:rsidP="00443316">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lastRenderedPageBreak/>
              <w:t xml:space="preserve">Report the number and value of any credit </w:t>
            </w:r>
            <w:r w:rsidR="002235AC" w:rsidRPr="00760F3B">
              <w:rPr>
                <w:rFonts w:ascii="Times New Roman" w:hAnsi="Times New Roman"/>
                <w:sz w:val="24"/>
                <w:szCs w:val="24"/>
                <w:lang w:val="en-GB"/>
              </w:rPr>
              <w:t>transfer, which</w:t>
            </w:r>
            <w:r w:rsidRPr="00760F3B">
              <w:rPr>
                <w:rFonts w:ascii="Times New Roman" w:hAnsi="Times New Roman"/>
                <w:sz w:val="24"/>
                <w:szCs w:val="24"/>
                <w:lang w:val="en-GB"/>
              </w:rPr>
              <w:t xml:space="preserve"> the payer submits in a non-paper-based form</w:t>
            </w:r>
            <w:r w:rsidR="0067610E" w:rsidRPr="0067610E">
              <w:rPr>
                <w:rStyle w:val="FootnoteReference"/>
                <w:rFonts w:ascii="Times New Roman" w:hAnsi="Times New Roman"/>
                <w:sz w:val="24"/>
                <w:szCs w:val="24"/>
                <w:lang w:val="en-GB"/>
              </w:rPr>
              <w:fldChar w:fldCharType="begin"/>
            </w:r>
            <w:r w:rsidR="0067610E" w:rsidRPr="0067610E">
              <w:rPr>
                <w:rStyle w:val="FootnoteReference"/>
                <w:rFonts w:ascii="Times New Roman" w:hAnsi="Times New Roman"/>
                <w:sz w:val="24"/>
                <w:szCs w:val="24"/>
                <w:lang w:val="en-GB"/>
              </w:rPr>
              <w:instrText xml:space="preserve"> NOTEREF _Ref81216064 \h  \* MERGEFORMAT </w:instrText>
            </w:r>
            <w:r w:rsidR="0067610E" w:rsidRPr="0067610E">
              <w:rPr>
                <w:rStyle w:val="FootnoteReference"/>
                <w:rFonts w:ascii="Times New Roman" w:hAnsi="Times New Roman"/>
                <w:sz w:val="24"/>
                <w:szCs w:val="24"/>
                <w:lang w:val="en-GB"/>
              </w:rPr>
            </w:r>
            <w:r w:rsidR="0067610E" w:rsidRPr="0067610E">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45</w:t>
            </w:r>
            <w:r w:rsidR="0067610E" w:rsidRPr="0067610E">
              <w:rPr>
                <w:rStyle w:val="FootnoteReference"/>
                <w:rFonts w:ascii="Times New Roman" w:hAnsi="Times New Roman"/>
                <w:sz w:val="24"/>
                <w:szCs w:val="24"/>
                <w:lang w:val="en-GB"/>
              </w:rPr>
              <w:fldChar w:fldCharType="end"/>
            </w:r>
            <w:r w:rsidR="00B81B73">
              <w:rPr>
                <w:rFonts w:ascii="Times New Roman" w:hAnsi="Times New Roman"/>
                <w:sz w:val="24"/>
                <w:szCs w:val="24"/>
                <w:lang w:val="en-GB"/>
              </w:rPr>
              <w:t xml:space="preserve">. </w:t>
            </w:r>
          </w:p>
          <w:p w14:paraId="15D4DC25" w14:textId="77777777" w:rsidR="00591697" w:rsidRDefault="00850EF0" w:rsidP="00443316">
            <w:pPr>
              <w:spacing w:after="120" w:line="360" w:lineRule="auto"/>
              <w:jc w:val="both"/>
              <w:rPr>
                <w:rFonts w:ascii="Times New Roman" w:hAnsi="Times New Roman"/>
                <w:sz w:val="24"/>
                <w:szCs w:val="24"/>
                <w:lang w:val="en-GB"/>
              </w:rPr>
            </w:pPr>
            <w:r>
              <w:rPr>
                <w:rFonts w:ascii="Times New Roman" w:hAnsi="Times New Roman"/>
                <w:sz w:val="24"/>
                <w:szCs w:val="24"/>
                <w:lang w:val="en-GB"/>
              </w:rPr>
              <w:t>‘</w:t>
            </w:r>
            <w:r w:rsidR="00591697" w:rsidRPr="00760F3B">
              <w:rPr>
                <w:rFonts w:ascii="Times New Roman" w:hAnsi="Times New Roman"/>
                <w:sz w:val="24"/>
                <w:szCs w:val="24"/>
                <w:lang w:val="en-GB"/>
              </w:rPr>
              <w:t>Credit transfers initiated electronically</w:t>
            </w:r>
            <w:r>
              <w:rPr>
                <w:rFonts w:ascii="Times New Roman" w:hAnsi="Times New Roman"/>
                <w:sz w:val="24"/>
                <w:szCs w:val="24"/>
                <w:lang w:val="en-GB"/>
              </w:rPr>
              <w:t>’ are the sum of those ‘I</w:t>
            </w:r>
            <w:r w:rsidR="00591697" w:rsidRPr="00760F3B">
              <w:rPr>
                <w:rFonts w:ascii="Times New Roman" w:hAnsi="Times New Roman"/>
                <w:sz w:val="24"/>
                <w:szCs w:val="24"/>
                <w:lang w:val="en-GB"/>
              </w:rPr>
              <w:t>nitiated in a file/batch</w:t>
            </w:r>
            <w:r>
              <w:rPr>
                <w:rFonts w:ascii="Times New Roman" w:hAnsi="Times New Roman"/>
                <w:sz w:val="24"/>
                <w:szCs w:val="24"/>
                <w:lang w:val="en-GB"/>
              </w:rPr>
              <w:t>’ and those ‘I</w:t>
            </w:r>
            <w:r w:rsidR="00591697" w:rsidRPr="00760F3B">
              <w:rPr>
                <w:rFonts w:ascii="Times New Roman" w:hAnsi="Times New Roman"/>
                <w:sz w:val="24"/>
                <w:szCs w:val="24"/>
                <w:lang w:val="en-GB"/>
              </w:rPr>
              <w:t xml:space="preserve">nitiated on a single </w:t>
            </w:r>
            <w:r w:rsidR="00591697" w:rsidRPr="00443316">
              <w:rPr>
                <w:rFonts w:ascii="Times New Roman" w:hAnsi="Times New Roman"/>
                <w:sz w:val="24"/>
                <w:szCs w:val="24"/>
                <w:lang w:val="en-GB"/>
              </w:rPr>
              <w:t>payment</w:t>
            </w:r>
            <w:r w:rsidR="00CE4C19">
              <w:rPr>
                <w:rFonts w:ascii="Times New Roman" w:hAnsi="Times New Roman"/>
                <w:sz w:val="24"/>
                <w:szCs w:val="24"/>
                <w:lang w:val="en-GB"/>
              </w:rPr>
              <w:t xml:space="preserve"> basis</w:t>
            </w:r>
            <w:r>
              <w:rPr>
                <w:rFonts w:ascii="Times New Roman" w:hAnsi="Times New Roman"/>
                <w:sz w:val="24"/>
                <w:szCs w:val="24"/>
                <w:lang w:val="en-GB"/>
              </w:rPr>
              <w:t>’</w:t>
            </w:r>
            <w:r w:rsidR="00CE4C19">
              <w:rPr>
                <w:rFonts w:ascii="Times New Roman" w:hAnsi="Times New Roman"/>
                <w:sz w:val="24"/>
                <w:szCs w:val="24"/>
                <w:lang w:val="en-GB"/>
              </w:rPr>
              <w:t>.</w:t>
            </w:r>
          </w:p>
          <w:p w14:paraId="220E479E" w14:textId="77777777" w:rsidR="00443316" w:rsidRDefault="00401186" w:rsidP="00443316">
            <w:pPr>
              <w:spacing w:after="120" w:line="360" w:lineRule="auto"/>
              <w:jc w:val="both"/>
              <w:rPr>
                <w:rFonts w:ascii="Times New Roman" w:hAnsi="Times New Roman"/>
                <w:sz w:val="24"/>
                <w:szCs w:val="24"/>
                <w:u w:val="single"/>
                <w:lang w:val="en-GB"/>
              </w:rPr>
            </w:pPr>
            <w:r w:rsidRPr="00401186">
              <w:rPr>
                <w:rFonts w:ascii="Times New Roman" w:hAnsi="Times New Roman"/>
                <w:sz w:val="24"/>
                <w:szCs w:val="24"/>
                <w:u w:val="single"/>
                <w:lang w:val="en-GB"/>
              </w:rPr>
              <w:lastRenderedPageBreak/>
              <w:t>Initiated in a file/batch</w:t>
            </w:r>
          </w:p>
          <w:p w14:paraId="18DE3984" w14:textId="77777777" w:rsidR="00401186" w:rsidRDefault="00BE0BDE" w:rsidP="00F83FAF">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This </w:t>
            </w:r>
            <w:r w:rsidR="006F743F">
              <w:rPr>
                <w:rFonts w:ascii="Times New Roman" w:hAnsi="Times New Roman"/>
                <w:sz w:val="24"/>
                <w:szCs w:val="24"/>
                <w:lang w:val="en-GB"/>
              </w:rPr>
              <w:t>i</w:t>
            </w:r>
            <w:r w:rsidR="00F83FAF">
              <w:rPr>
                <w:rFonts w:ascii="Times New Roman" w:hAnsi="Times New Roman"/>
                <w:sz w:val="24"/>
                <w:szCs w:val="24"/>
                <w:lang w:val="en-GB"/>
              </w:rPr>
              <w:t xml:space="preserve">ncludes credit transfers jointly initiated by the payer via a </w:t>
            </w:r>
            <w:r w:rsidR="00F83FAF" w:rsidRPr="00760F3B">
              <w:rPr>
                <w:rFonts w:ascii="Times New Roman" w:hAnsi="Times New Roman"/>
                <w:sz w:val="24"/>
                <w:szCs w:val="24"/>
                <w:lang w:val="en-GB"/>
              </w:rPr>
              <w:t>dedicated line. Each credit transfer contained in a batch is counte</w:t>
            </w:r>
            <w:r w:rsidR="00F83FAF">
              <w:rPr>
                <w:rFonts w:ascii="Times New Roman" w:hAnsi="Times New Roman"/>
                <w:sz w:val="24"/>
                <w:szCs w:val="24"/>
                <w:lang w:val="en-GB"/>
              </w:rPr>
              <w:t>d separate</w:t>
            </w:r>
            <w:r w:rsidR="000126DB">
              <w:rPr>
                <w:rFonts w:ascii="Times New Roman" w:hAnsi="Times New Roman"/>
                <w:sz w:val="24"/>
                <w:szCs w:val="24"/>
                <w:lang w:val="en-GB"/>
              </w:rPr>
              <w:t>ly</w:t>
            </w:r>
            <w:r w:rsidR="00F83FAF">
              <w:rPr>
                <w:rFonts w:ascii="Times New Roman" w:hAnsi="Times New Roman"/>
                <w:sz w:val="24"/>
                <w:szCs w:val="24"/>
                <w:lang w:val="en-GB"/>
              </w:rPr>
              <w:t>.</w:t>
            </w:r>
          </w:p>
          <w:p w14:paraId="20512A83" w14:textId="77777777" w:rsidR="00401186" w:rsidRDefault="00401186" w:rsidP="00443316">
            <w:pPr>
              <w:spacing w:after="120" w:line="360" w:lineRule="auto"/>
              <w:jc w:val="both"/>
              <w:rPr>
                <w:rFonts w:ascii="Times New Roman" w:hAnsi="Times New Roman"/>
                <w:sz w:val="24"/>
                <w:szCs w:val="24"/>
                <w:u w:val="single"/>
                <w:lang w:val="en-GB"/>
              </w:rPr>
            </w:pPr>
            <w:r w:rsidRPr="00401186">
              <w:rPr>
                <w:rFonts w:ascii="Times New Roman" w:hAnsi="Times New Roman"/>
                <w:sz w:val="24"/>
                <w:szCs w:val="24"/>
                <w:u w:val="single"/>
                <w:lang w:val="en-GB"/>
              </w:rPr>
              <w:t>Initiated on a single payment basis</w:t>
            </w:r>
          </w:p>
          <w:p w14:paraId="64D8A7D9" w14:textId="77777777" w:rsidR="00401186" w:rsidRPr="00D63F2F" w:rsidRDefault="00BE0BDE" w:rsidP="00337D3D">
            <w:pPr>
              <w:spacing w:after="120" w:line="360" w:lineRule="auto"/>
              <w:jc w:val="both"/>
              <w:rPr>
                <w:rFonts w:ascii="Times New Roman" w:hAnsi="Times New Roman"/>
                <w:sz w:val="24"/>
                <w:szCs w:val="24"/>
                <w:lang w:val="en-GB"/>
              </w:rPr>
            </w:pPr>
            <w:r>
              <w:rPr>
                <w:rFonts w:ascii="Times New Roman" w:hAnsi="Times New Roman"/>
                <w:sz w:val="24"/>
                <w:szCs w:val="24"/>
                <w:lang w:val="en-GB"/>
              </w:rPr>
              <w:t>This i</w:t>
            </w:r>
            <w:r w:rsidR="00F83FAF">
              <w:rPr>
                <w:rFonts w:ascii="Times New Roman" w:hAnsi="Times New Roman"/>
                <w:sz w:val="24"/>
                <w:szCs w:val="24"/>
                <w:lang w:val="en-GB"/>
              </w:rPr>
              <w:t xml:space="preserve">ncludes a </w:t>
            </w:r>
            <w:r w:rsidR="00401186" w:rsidRPr="00760F3B">
              <w:rPr>
                <w:rFonts w:ascii="Times New Roman" w:hAnsi="Times New Roman"/>
                <w:sz w:val="24"/>
                <w:szCs w:val="24"/>
                <w:lang w:val="en-GB"/>
              </w:rPr>
              <w:t>credit transfer that is not part of a</w:t>
            </w:r>
            <w:r w:rsidR="00F83FAF">
              <w:rPr>
                <w:rFonts w:ascii="Times New Roman" w:hAnsi="Times New Roman"/>
                <w:sz w:val="24"/>
                <w:szCs w:val="24"/>
                <w:lang w:val="en-GB"/>
              </w:rPr>
              <w:t xml:space="preserve"> </w:t>
            </w:r>
            <w:r w:rsidR="00401186" w:rsidRPr="00760F3B">
              <w:rPr>
                <w:rFonts w:ascii="Times New Roman" w:hAnsi="Times New Roman"/>
                <w:sz w:val="24"/>
                <w:szCs w:val="24"/>
                <w:lang w:val="en-GB"/>
              </w:rPr>
              <w:t xml:space="preserve">group of credit transfers jointly initiated. </w:t>
            </w:r>
            <w:r w:rsidR="00DC7E1B">
              <w:rPr>
                <w:rFonts w:ascii="Times New Roman" w:hAnsi="Times New Roman"/>
                <w:sz w:val="24"/>
                <w:szCs w:val="24"/>
                <w:lang w:val="en-GB"/>
              </w:rPr>
              <w:t>This category is</w:t>
            </w:r>
            <w:r w:rsidR="006F743F">
              <w:rPr>
                <w:rFonts w:ascii="Times New Roman" w:hAnsi="Times New Roman"/>
                <w:sz w:val="24"/>
                <w:szCs w:val="24"/>
                <w:lang w:val="en-GB"/>
              </w:rPr>
              <w:t xml:space="preserve"> further broken down into</w:t>
            </w:r>
            <w:r w:rsidR="00401186" w:rsidRPr="00760F3B">
              <w:rPr>
                <w:rFonts w:ascii="Times New Roman" w:hAnsi="Times New Roman"/>
                <w:sz w:val="24"/>
                <w:szCs w:val="24"/>
                <w:lang w:val="en-GB"/>
              </w:rPr>
              <w:t xml:space="preserve"> ‘</w:t>
            </w:r>
            <w:r w:rsidR="00141945" w:rsidRPr="00760F3B">
              <w:rPr>
                <w:rFonts w:ascii="Times New Roman" w:hAnsi="Times New Roman"/>
                <w:sz w:val="24"/>
                <w:szCs w:val="24"/>
                <w:lang w:val="en-GB"/>
              </w:rPr>
              <w:t xml:space="preserve">online </w:t>
            </w:r>
            <w:proofErr w:type="gramStart"/>
            <w:r w:rsidR="00141945" w:rsidRPr="00760F3B">
              <w:rPr>
                <w:rFonts w:ascii="Times New Roman" w:hAnsi="Times New Roman"/>
                <w:sz w:val="24"/>
                <w:szCs w:val="24"/>
                <w:lang w:val="en-GB"/>
              </w:rPr>
              <w:t>banking based</w:t>
            </w:r>
            <w:proofErr w:type="gramEnd"/>
            <w:r w:rsidR="00141945" w:rsidRPr="00760F3B">
              <w:rPr>
                <w:rFonts w:ascii="Times New Roman" w:hAnsi="Times New Roman"/>
                <w:sz w:val="24"/>
                <w:szCs w:val="24"/>
                <w:lang w:val="en-GB"/>
              </w:rPr>
              <w:t xml:space="preserve"> credit transfers</w:t>
            </w:r>
            <w:r w:rsidR="00401186" w:rsidRPr="00760F3B">
              <w:rPr>
                <w:rFonts w:ascii="Times New Roman" w:hAnsi="Times New Roman"/>
                <w:sz w:val="24"/>
                <w:szCs w:val="24"/>
                <w:lang w:val="en-GB"/>
              </w:rPr>
              <w:t>’</w:t>
            </w:r>
            <w:r w:rsidR="002D2159">
              <w:rPr>
                <w:rStyle w:val="FootnoteReference"/>
                <w:rFonts w:ascii="Times New Roman" w:hAnsi="Times New Roman"/>
                <w:sz w:val="24"/>
                <w:szCs w:val="24"/>
                <w:lang w:val="en-GB"/>
              </w:rPr>
              <w:footnoteReference w:id="48"/>
            </w:r>
            <w:r w:rsidR="00401186" w:rsidRPr="00760F3B">
              <w:rPr>
                <w:rFonts w:ascii="Times New Roman" w:hAnsi="Times New Roman"/>
                <w:sz w:val="24"/>
                <w:szCs w:val="24"/>
                <w:lang w:val="en-GB"/>
              </w:rPr>
              <w:t>, ‘ATM or other PSP terminal’</w:t>
            </w:r>
            <w:r w:rsidR="005E4735">
              <w:rPr>
                <w:rStyle w:val="FootnoteReference"/>
                <w:rFonts w:ascii="Times New Roman" w:hAnsi="Times New Roman"/>
                <w:sz w:val="24"/>
                <w:szCs w:val="24"/>
                <w:lang w:val="en-GB"/>
              </w:rPr>
              <w:footnoteReference w:id="49"/>
            </w:r>
            <w:r w:rsidR="00B81B73">
              <w:rPr>
                <w:rFonts w:ascii="Times New Roman" w:hAnsi="Times New Roman"/>
                <w:sz w:val="24"/>
                <w:szCs w:val="24"/>
                <w:lang w:val="en-GB"/>
              </w:rPr>
              <w:t xml:space="preserve"> and ‘M</w:t>
            </w:r>
            <w:r w:rsidR="00401186" w:rsidRPr="00760F3B">
              <w:rPr>
                <w:rFonts w:ascii="Times New Roman" w:hAnsi="Times New Roman"/>
                <w:sz w:val="24"/>
                <w:szCs w:val="24"/>
                <w:lang w:val="en-GB"/>
              </w:rPr>
              <w:t>obile payment solution’</w:t>
            </w:r>
            <w:bookmarkStart w:id="33" w:name="_Ref75438065"/>
            <w:r w:rsidR="005E4735">
              <w:rPr>
                <w:rStyle w:val="FootnoteReference"/>
                <w:rFonts w:ascii="Times New Roman" w:hAnsi="Times New Roman"/>
                <w:sz w:val="24"/>
                <w:szCs w:val="24"/>
                <w:lang w:val="en-GB"/>
              </w:rPr>
              <w:footnoteReference w:id="50"/>
            </w:r>
            <w:bookmarkEnd w:id="33"/>
            <w:r w:rsidR="00401186" w:rsidRPr="00760F3B">
              <w:rPr>
                <w:rFonts w:ascii="Times New Roman" w:hAnsi="Times New Roman"/>
                <w:sz w:val="24"/>
                <w:szCs w:val="24"/>
                <w:lang w:val="en-GB"/>
              </w:rPr>
              <w:t>.</w:t>
            </w:r>
            <w:r w:rsidR="00D63F2F">
              <w:rPr>
                <w:rFonts w:ascii="Times New Roman" w:hAnsi="Times New Roman"/>
                <w:sz w:val="24"/>
                <w:szCs w:val="24"/>
                <w:lang w:val="en-GB"/>
              </w:rPr>
              <w:t xml:space="preserve"> </w:t>
            </w:r>
            <w:r w:rsidR="00D63F2F" w:rsidRPr="00D63F2F">
              <w:rPr>
                <w:rFonts w:ascii="Times New Roman" w:hAnsi="Times New Roman"/>
                <w:sz w:val="24"/>
                <w:szCs w:val="24"/>
                <w:lang w:val="en-GB"/>
              </w:rPr>
              <w:t>These sub-categories are mutually exclusive.</w:t>
            </w:r>
            <w:r w:rsidR="00B81B73">
              <w:rPr>
                <w:rFonts w:ascii="Times New Roman" w:hAnsi="Times New Roman"/>
                <w:sz w:val="24"/>
                <w:szCs w:val="24"/>
                <w:lang w:val="en-GB"/>
              </w:rPr>
              <w:t xml:space="preserve"> In addition, ‘E</w:t>
            </w:r>
            <w:r w:rsidR="00141945" w:rsidRPr="00141945">
              <w:rPr>
                <w:rFonts w:ascii="Times New Roman" w:hAnsi="Times New Roman"/>
                <w:sz w:val="24"/>
                <w:szCs w:val="24"/>
                <w:lang w:val="en-GB"/>
              </w:rPr>
              <w:t>-commerce payments’</w:t>
            </w:r>
            <w:bookmarkStart w:id="34" w:name="_Ref80860786"/>
            <w:r w:rsidR="00141945">
              <w:rPr>
                <w:rStyle w:val="FootnoteReference"/>
                <w:rFonts w:ascii="Times New Roman" w:hAnsi="Times New Roman"/>
                <w:sz w:val="24"/>
                <w:szCs w:val="24"/>
                <w:lang w:val="en-GB"/>
              </w:rPr>
              <w:footnoteReference w:id="51"/>
            </w:r>
            <w:bookmarkEnd w:id="34"/>
            <w:r w:rsidR="00141945" w:rsidRPr="00141945">
              <w:rPr>
                <w:rFonts w:ascii="Times New Roman" w:hAnsi="Times New Roman"/>
                <w:sz w:val="24"/>
                <w:szCs w:val="24"/>
                <w:lang w:val="en-GB"/>
              </w:rPr>
              <w:t xml:space="preserve"> is a sub-</w:t>
            </w:r>
            <w:r w:rsidR="00337D3D">
              <w:rPr>
                <w:rFonts w:ascii="Times New Roman" w:hAnsi="Times New Roman"/>
                <w:sz w:val="24"/>
                <w:szCs w:val="24"/>
                <w:lang w:val="en-GB"/>
              </w:rPr>
              <w:t>item</w:t>
            </w:r>
            <w:r w:rsidR="00B81B73">
              <w:rPr>
                <w:rFonts w:ascii="Times New Roman" w:hAnsi="Times New Roman"/>
                <w:sz w:val="24"/>
                <w:szCs w:val="24"/>
                <w:lang w:val="en-GB"/>
              </w:rPr>
              <w:t xml:space="preserve"> of ‘O</w:t>
            </w:r>
            <w:r w:rsidR="00141945" w:rsidRPr="00141945">
              <w:rPr>
                <w:rFonts w:ascii="Times New Roman" w:hAnsi="Times New Roman"/>
                <w:sz w:val="24"/>
                <w:szCs w:val="24"/>
                <w:lang w:val="en-GB"/>
              </w:rPr>
              <w:t xml:space="preserve">nline </w:t>
            </w:r>
            <w:proofErr w:type="gramStart"/>
            <w:r w:rsidR="00337D3D">
              <w:rPr>
                <w:rFonts w:ascii="Times New Roman" w:hAnsi="Times New Roman"/>
                <w:sz w:val="24"/>
                <w:szCs w:val="24"/>
                <w:lang w:val="en-GB"/>
              </w:rPr>
              <w:t>banking based</w:t>
            </w:r>
            <w:proofErr w:type="gramEnd"/>
            <w:r w:rsidR="00337D3D">
              <w:rPr>
                <w:rFonts w:ascii="Times New Roman" w:hAnsi="Times New Roman"/>
                <w:sz w:val="24"/>
                <w:szCs w:val="24"/>
                <w:lang w:val="en-GB"/>
              </w:rPr>
              <w:t xml:space="preserve"> credit transfers’ and ‘</w:t>
            </w:r>
            <w:r w:rsidR="00337D3D" w:rsidRPr="00337D3D">
              <w:rPr>
                <w:rFonts w:ascii="Times New Roman" w:hAnsi="Times New Roman"/>
                <w:sz w:val="24"/>
                <w:szCs w:val="24"/>
                <w:lang w:val="en-GB"/>
              </w:rPr>
              <w:t>P2P mobile payment solution</w:t>
            </w:r>
            <w:r w:rsidR="00337D3D">
              <w:rPr>
                <w:rFonts w:ascii="Times New Roman" w:hAnsi="Times New Roman"/>
                <w:sz w:val="24"/>
                <w:szCs w:val="24"/>
                <w:lang w:val="en-GB"/>
              </w:rPr>
              <w:t>’</w:t>
            </w:r>
            <w:bookmarkStart w:id="35" w:name="_Ref81225080"/>
            <w:r w:rsidR="00512A2F">
              <w:rPr>
                <w:rStyle w:val="FootnoteReference"/>
                <w:rFonts w:ascii="Times New Roman" w:hAnsi="Times New Roman"/>
                <w:sz w:val="24"/>
                <w:szCs w:val="24"/>
                <w:lang w:val="en-GB"/>
              </w:rPr>
              <w:footnoteReference w:id="52"/>
            </w:r>
            <w:bookmarkEnd w:id="35"/>
            <w:r w:rsidR="00337D3D">
              <w:rPr>
                <w:rFonts w:ascii="Times New Roman" w:hAnsi="Times New Roman"/>
                <w:sz w:val="24"/>
                <w:szCs w:val="24"/>
                <w:lang w:val="en-GB"/>
              </w:rPr>
              <w:t xml:space="preserve"> is a sub-item of </w:t>
            </w:r>
            <w:r w:rsidR="00B81B73">
              <w:rPr>
                <w:rFonts w:ascii="Times New Roman" w:hAnsi="Times New Roman"/>
                <w:sz w:val="24"/>
                <w:szCs w:val="24"/>
                <w:lang w:val="en-GB"/>
              </w:rPr>
              <w:t>‘M</w:t>
            </w:r>
            <w:r w:rsidR="00337D3D" w:rsidRPr="00760F3B">
              <w:rPr>
                <w:rFonts w:ascii="Times New Roman" w:hAnsi="Times New Roman"/>
                <w:sz w:val="24"/>
                <w:szCs w:val="24"/>
                <w:lang w:val="en-GB"/>
              </w:rPr>
              <w:t>obile payment solution’</w:t>
            </w:r>
            <w:r w:rsidR="00337D3D">
              <w:rPr>
                <w:rFonts w:ascii="Times New Roman" w:hAnsi="Times New Roman"/>
                <w:sz w:val="24"/>
                <w:szCs w:val="24"/>
                <w:lang w:val="en-GB"/>
              </w:rPr>
              <w:t>.</w:t>
            </w:r>
          </w:p>
        </w:tc>
      </w:tr>
      <w:tr w:rsidR="003C42A7" w:rsidRPr="00F53249" w14:paraId="4ECB7514" w14:textId="77777777" w:rsidTr="002D24D2">
        <w:tc>
          <w:tcPr>
            <w:tcW w:w="2483" w:type="dxa"/>
          </w:tcPr>
          <w:p w14:paraId="73B65DBA" w14:textId="77777777" w:rsidR="0062291E" w:rsidRDefault="00C13760" w:rsidP="003D1E63">
            <w:pPr>
              <w:spacing w:after="120" w:line="360" w:lineRule="auto"/>
              <w:rPr>
                <w:rFonts w:ascii="Times New Roman" w:hAnsi="Times New Roman"/>
                <w:sz w:val="24"/>
                <w:szCs w:val="24"/>
                <w:lang w:val="en-GB"/>
              </w:rPr>
            </w:pPr>
            <w:r>
              <w:rPr>
                <w:rFonts w:ascii="Times New Roman" w:hAnsi="Times New Roman"/>
                <w:sz w:val="24"/>
                <w:szCs w:val="24"/>
                <w:lang w:val="en-GB"/>
              </w:rPr>
              <w:lastRenderedPageBreak/>
              <w:t>‘</w:t>
            </w:r>
            <w:r w:rsidR="00EB7A3D">
              <w:rPr>
                <w:rFonts w:ascii="Times New Roman" w:hAnsi="Times New Roman"/>
                <w:sz w:val="24"/>
                <w:szCs w:val="24"/>
                <w:lang w:val="en-GB"/>
              </w:rPr>
              <w:t>Remote</w:t>
            </w:r>
            <w:r>
              <w:rPr>
                <w:rFonts w:ascii="Times New Roman" w:hAnsi="Times New Roman"/>
                <w:sz w:val="24"/>
                <w:szCs w:val="24"/>
                <w:lang w:val="en-GB"/>
              </w:rPr>
              <w:t xml:space="preserve"> channel’ and ‘</w:t>
            </w:r>
            <w:proofErr w:type="gramStart"/>
            <w:r>
              <w:rPr>
                <w:rFonts w:ascii="Times New Roman" w:hAnsi="Times New Roman"/>
                <w:sz w:val="24"/>
                <w:szCs w:val="24"/>
                <w:lang w:val="en-GB"/>
              </w:rPr>
              <w:t>N</w:t>
            </w:r>
            <w:r w:rsidR="00EB7A3D">
              <w:rPr>
                <w:rFonts w:ascii="Times New Roman" w:hAnsi="Times New Roman"/>
                <w:sz w:val="24"/>
                <w:szCs w:val="24"/>
                <w:lang w:val="en-GB"/>
              </w:rPr>
              <w:t>on-remote</w:t>
            </w:r>
            <w:proofErr w:type="gramEnd"/>
            <w:r w:rsidR="00EB7A3D">
              <w:rPr>
                <w:rFonts w:ascii="Times New Roman" w:hAnsi="Times New Roman"/>
                <w:sz w:val="24"/>
                <w:szCs w:val="24"/>
                <w:lang w:val="en-GB"/>
              </w:rPr>
              <w:t xml:space="preserve"> payment channel</w:t>
            </w:r>
            <w:r>
              <w:rPr>
                <w:rFonts w:ascii="Times New Roman" w:hAnsi="Times New Roman"/>
                <w:sz w:val="24"/>
                <w:szCs w:val="24"/>
                <w:lang w:val="en-GB"/>
              </w:rPr>
              <w:t>’</w:t>
            </w:r>
            <w:r w:rsidR="00850EF0">
              <w:rPr>
                <w:rFonts w:ascii="Times New Roman" w:hAnsi="Times New Roman"/>
                <w:sz w:val="24"/>
                <w:szCs w:val="24"/>
                <w:lang w:val="en-GB"/>
              </w:rPr>
              <w:t xml:space="preserve">/ </w:t>
            </w:r>
          </w:p>
          <w:p w14:paraId="3636A45A" w14:textId="77777777" w:rsidR="0062291E" w:rsidRDefault="003C42A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lastRenderedPageBreak/>
              <w:t>Proce</w:t>
            </w:r>
            <w:r w:rsidR="0062291E">
              <w:rPr>
                <w:rFonts w:ascii="Times New Roman" w:hAnsi="Times New Roman"/>
                <w:sz w:val="24"/>
                <w:szCs w:val="24"/>
                <w:lang w:val="en-GB"/>
              </w:rPr>
              <w:t xml:space="preserve">ssed by credit transfer schemes/ </w:t>
            </w:r>
          </w:p>
          <w:p w14:paraId="694BED3B" w14:textId="77777777" w:rsidR="003C42A7" w:rsidRPr="00DC5950" w:rsidRDefault="008C7468" w:rsidP="003D1E63">
            <w:pPr>
              <w:spacing w:after="120" w:line="360" w:lineRule="auto"/>
              <w:rPr>
                <w:rFonts w:ascii="Times New Roman" w:hAnsi="Times New Roman"/>
                <w:b/>
                <w:sz w:val="24"/>
                <w:szCs w:val="24"/>
                <w:lang w:val="en-GB"/>
              </w:rPr>
            </w:pPr>
            <w:r>
              <w:rPr>
                <w:rFonts w:ascii="Times New Roman" w:hAnsi="Times New Roman"/>
                <w:sz w:val="24"/>
                <w:szCs w:val="24"/>
                <w:lang w:val="en-GB"/>
              </w:rPr>
              <w:t>Authentication channel</w:t>
            </w:r>
          </w:p>
          <w:p w14:paraId="20D8D6CA" w14:textId="77777777" w:rsidR="00DC5950" w:rsidRPr="00DC5950" w:rsidRDefault="00DC5950" w:rsidP="00DC5950">
            <w:pPr>
              <w:spacing w:after="120" w:line="360" w:lineRule="auto"/>
              <w:ind w:left="360"/>
              <w:jc w:val="both"/>
              <w:rPr>
                <w:rFonts w:ascii="Times New Roman" w:hAnsi="Times New Roman"/>
                <w:b/>
                <w:sz w:val="24"/>
                <w:szCs w:val="24"/>
                <w:lang w:val="en-GB"/>
              </w:rPr>
            </w:pPr>
          </w:p>
        </w:tc>
        <w:tc>
          <w:tcPr>
            <w:tcW w:w="7151" w:type="dxa"/>
          </w:tcPr>
          <w:p w14:paraId="6729EFCA" w14:textId="0A2021F1" w:rsidR="00C35976" w:rsidRPr="00C35976" w:rsidRDefault="003C42A7" w:rsidP="00C35976">
            <w:pPr>
              <w:spacing w:after="120" w:line="360" w:lineRule="auto"/>
              <w:jc w:val="both"/>
              <w:rPr>
                <w:rFonts w:ascii="Times New Roman" w:hAnsi="Times New Roman"/>
                <w:sz w:val="24"/>
                <w:szCs w:val="24"/>
                <w:lang w:val="en-US"/>
              </w:rPr>
            </w:pPr>
            <w:r w:rsidRPr="003C42A7">
              <w:rPr>
                <w:rFonts w:ascii="Times New Roman" w:hAnsi="Times New Roman"/>
                <w:sz w:val="24"/>
                <w:szCs w:val="24"/>
                <w:lang w:val="en-GB"/>
              </w:rPr>
              <w:lastRenderedPageBreak/>
              <w:t>Credit transfers</w:t>
            </w:r>
            <w:r w:rsidR="00E05E87">
              <w:rPr>
                <w:rFonts w:ascii="Times New Roman" w:hAnsi="Times New Roman"/>
                <w:sz w:val="24"/>
                <w:szCs w:val="24"/>
                <w:lang w:val="en-GB"/>
              </w:rPr>
              <w:t xml:space="preserve"> initiated electronically are the sum of those</w:t>
            </w:r>
            <w:r w:rsidRPr="003C42A7">
              <w:rPr>
                <w:rFonts w:ascii="Times New Roman" w:hAnsi="Times New Roman"/>
                <w:sz w:val="24"/>
                <w:szCs w:val="24"/>
                <w:lang w:val="en-GB"/>
              </w:rPr>
              <w:t xml:space="preserve"> initiated remotely and </w:t>
            </w:r>
            <w:r w:rsidR="00E05E87">
              <w:rPr>
                <w:rFonts w:ascii="Times New Roman" w:hAnsi="Times New Roman"/>
                <w:sz w:val="24"/>
                <w:szCs w:val="24"/>
                <w:lang w:val="en-GB"/>
              </w:rPr>
              <w:t xml:space="preserve">those </w:t>
            </w:r>
            <w:r w:rsidRPr="003C42A7">
              <w:rPr>
                <w:rFonts w:ascii="Times New Roman" w:hAnsi="Times New Roman"/>
                <w:sz w:val="24"/>
                <w:szCs w:val="24"/>
                <w:lang w:val="en-GB"/>
              </w:rPr>
              <w:t xml:space="preserve">initiated non-remotely. Within these breakdowns, transactions are reported by scheme and for each scheme, they are further broken </w:t>
            </w:r>
            <w:r w:rsidR="00CD7EA4">
              <w:rPr>
                <w:rFonts w:ascii="Times New Roman" w:hAnsi="Times New Roman"/>
                <w:sz w:val="24"/>
                <w:szCs w:val="24"/>
                <w:lang w:val="en-GB"/>
              </w:rPr>
              <w:t xml:space="preserve">down by authentication channel. </w:t>
            </w:r>
            <w:r w:rsidR="00FC4702">
              <w:rPr>
                <w:rFonts w:ascii="Times New Roman" w:hAnsi="Times New Roman"/>
                <w:sz w:val="24"/>
                <w:szCs w:val="24"/>
                <w:lang w:val="en-GB"/>
              </w:rPr>
              <w:t>T</w:t>
            </w:r>
            <w:r w:rsidRPr="003C42A7">
              <w:rPr>
                <w:rFonts w:ascii="Times New Roman" w:hAnsi="Times New Roman"/>
                <w:sz w:val="24"/>
                <w:szCs w:val="24"/>
                <w:lang w:val="en-GB"/>
              </w:rPr>
              <w:t>he</w:t>
            </w:r>
            <w:r w:rsidR="00FC4702">
              <w:rPr>
                <w:rFonts w:ascii="Times New Roman" w:hAnsi="Times New Roman"/>
                <w:sz w:val="24"/>
                <w:szCs w:val="24"/>
                <w:lang w:val="en-GB"/>
              </w:rPr>
              <w:t>se</w:t>
            </w:r>
            <w:r w:rsidRPr="003C42A7">
              <w:rPr>
                <w:rFonts w:ascii="Times New Roman" w:hAnsi="Times New Roman"/>
                <w:sz w:val="24"/>
                <w:szCs w:val="24"/>
                <w:lang w:val="en-GB"/>
              </w:rPr>
              <w:t xml:space="preserve"> sub-categories are mutually exclusive</w:t>
            </w:r>
            <w:r w:rsidR="00FC4702">
              <w:rPr>
                <w:rFonts w:ascii="Times New Roman" w:hAnsi="Times New Roman"/>
                <w:sz w:val="24"/>
                <w:szCs w:val="24"/>
                <w:lang w:val="en-GB"/>
              </w:rPr>
              <w:t>.</w:t>
            </w:r>
            <w:r w:rsidR="00C35976">
              <w:rPr>
                <w:rFonts w:ascii="Times New Roman" w:hAnsi="Times New Roman"/>
                <w:sz w:val="24"/>
                <w:szCs w:val="24"/>
                <w:lang w:val="en-GB"/>
              </w:rPr>
              <w:t xml:space="preserve"> </w:t>
            </w:r>
          </w:p>
          <w:p w14:paraId="658A1F93" w14:textId="77777777" w:rsidR="003C42A7" w:rsidRPr="00E81877" w:rsidRDefault="003C42A7" w:rsidP="003C42A7">
            <w:pPr>
              <w:spacing w:after="120" w:line="360" w:lineRule="auto"/>
              <w:jc w:val="both"/>
              <w:rPr>
                <w:rFonts w:ascii="Times New Roman" w:hAnsi="Times New Roman"/>
                <w:sz w:val="24"/>
                <w:szCs w:val="24"/>
                <w:u w:val="single"/>
                <w:lang w:val="en-GB"/>
              </w:rPr>
            </w:pPr>
            <w:r w:rsidRPr="00E81877">
              <w:rPr>
                <w:rFonts w:ascii="Times New Roman" w:hAnsi="Times New Roman"/>
                <w:sz w:val="24"/>
                <w:szCs w:val="24"/>
                <w:u w:val="single"/>
                <w:lang w:val="en-GB"/>
              </w:rPr>
              <w:lastRenderedPageBreak/>
              <w:t>Remote and non-Remote</w:t>
            </w:r>
            <w:r w:rsidR="00EB7A3D" w:rsidRPr="00E81877">
              <w:rPr>
                <w:rFonts w:ascii="Times New Roman" w:hAnsi="Times New Roman"/>
                <w:sz w:val="24"/>
                <w:szCs w:val="24"/>
                <w:u w:val="single"/>
                <w:lang w:val="en-GB"/>
              </w:rPr>
              <w:t xml:space="preserve"> payment</w:t>
            </w:r>
            <w:r w:rsidRPr="00E81877">
              <w:rPr>
                <w:rFonts w:ascii="Times New Roman" w:hAnsi="Times New Roman"/>
                <w:sz w:val="24"/>
                <w:szCs w:val="24"/>
                <w:u w:val="single"/>
                <w:lang w:val="en-GB"/>
              </w:rPr>
              <w:t xml:space="preserve"> channel</w:t>
            </w:r>
          </w:p>
          <w:p w14:paraId="2801FA42" w14:textId="77777777" w:rsidR="003418A7" w:rsidRDefault="00EB7A3D" w:rsidP="003C42A7">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Remote payment transactions include transactions initiated via internet or through a device that can be used for distance communication. </w:t>
            </w:r>
            <w:r w:rsidR="00A47CF4">
              <w:rPr>
                <w:rFonts w:ascii="Times New Roman" w:hAnsi="Times New Roman"/>
                <w:sz w:val="24"/>
                <w:szCs w:val="24"/>
                <w:lang w:val="en-GB"/>
              </w:rPr>
              <w:t>Non-remote payment transactions cover transactions at terminals, including those using contactless technology.</w:t>
            </w:r>
            <w:r w:rsidR="00AC4440">
              <w:rPr>
                <w:rFonts w:ascii="Times New Roman" w:hAnsi="Times New Roman"/>
                <w:sz w:val="24"/>
                <w:szCs w:val="24"/>
                <w:lang w:val="en-GB"/>
              </w:rPr>
              <w:t xml:space="preserve"> </w:t>
            </w:r>
          </w:p>
          <w:p w14:paraId="7EEA30D3" w14:textId="66F6E026" w:rsidR="003A2E28" w:rsidRPr="003C42A7" w:rsidRDefault="00C35976" w:rsidP="003C42A7">
            <w:pPr>
              <w:spacing w:after="120" w:line="360" w:lineRule="auto"/>
              <w:jc w:val="both"/>
              <w:rPr>
                <w:rFonts w:ascii="Times New Roman" w:hAnsi="Times New Roman"/>
                <w:sz w:val="24"/>
                <w:szCs w:val="24"/>
                <w:lang w:val="en-GB"/>
              </w:rPr>
            </w:pPr>
            <w:r w:rsidRPr="00C35976">
              <w:rPr>
                <w:rFonts w:ascii="Times New Roman" w:hAnsi="Times New Roman"/>
                <w:sz w:val="24"/>
                <w:szCs w:val="24"/>
                <w:lang w:val="en-US"/>
              </w:rPr>
              <w:t xml:space="preserve">If a QR code is scanned at a physical POS terminal and the transaction takes place via a </w:t>
            </w:r>
            <w:proofErr w:type="gramStart"/>
            <w:r w:rsidRPr="00C35976">
              <w:rPr>
                <w:rFonts w:ascii="Times New Roman" w:hAnsi="Times New Roman"/>
                <w:sz w:val="24"/>
                <w:szCs w:val="24"/>
                <w:lang w:val="en-US"/>
              </w:rPr>
              <w:t>credit transfer payment rails</w:t>
            </w:r>
            <w:proofErr w:type="gramEnd"/>
            <w:r w:rsidRPr="00C35976">
              <w:rPr>
                <w:rFonts w:ascii="Times New Roman" w:hAnsi="Times New Roman"/>
                <w:sz w:val="24"/>
                <w:szCs w:val="24"/>
                <w:lang w:val="en-US"/>
              </w:rPr>
              <w:t>, a non-remote credit transfer should be reported. On the other hand, where a virtual terminal generates the QR code or any other type of remote initiation, the initiation would fall under “remote transactions”.</w:t>
            </w:r>
          </w:p>
          <w:p w14:paraId="79601A77" w14:textId="77777777" w:rsidR="003C42A7" w:rsidRPr="00E81877" w:rsidRDefault="003C42A7" w:rsidP="003C42A7">
            <w:pPr>
              <w:spacing w:after="120" w:line="360" w:lineRule="auto"/>
              <w:jc w:val="both"/>
              <w:rPr>
                <w:rFonts w:ascii="Times New Roman" w:hAnsi="Times New Roman"/>
                <w:sz w:val="24"/>
                <w:szCs w:val="24"/>
                <w:u w:val="single"/>
                <w:lang w:val="en-GB"/>
              </w:rPr>
            </w:pPr>
            <w:r w:rsidRPr="00E81877">
              <w:rPr>
                <w:rFonts w:ascii="Times New Roman" w:hAnsi="Times New Roman"/>
                <w:sz w:val="24"/>
                <w:szCs w:val="24"/>
                <w:u w:val="single"/>
                <w:lang w:val="en-GB"/>
              </w:rPr>
              <w:t>Processed by credit transfer schemes</w:t>
            </w:r>
          </w:p>
          <w:p w14:paraId="76E44555" w14:textId="34E6A722" w:rsidR="00C26CDC" w:rsidRDefault="003C42A7" w:rsidP="003C42A7">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Transactions are to be reported separately for each scheme, be it </w:t>
            </w:r>
            <w:proofErr w:type="gramStart"/>
            <w:r w:rsidRPr="00760F3B">
              <w:rPr>
                <w:rFonts w:ascii="Times New Roman" w:hAnsi="Times New Roman"/>
                <w:sz w:val="24"/>
                <w:szCs w:val="24"/>
                <w:lang w:val="en-GB"/>
              </w:rPr>
              <w:t>SEPA</w:t>
            </w:r>
            <w:r w:rsidR="00332004" w:rsidRPr="00760F3B">
              <w:rPr>
                <w:rFonts w:ascii="Times New Roman" w:hAnsi="Times New Roman"/>
                <w:sz w:val="24"/>
                <w:szCs w:val="24"/>
                <w:lang w:val="en-GB"/>
              </w:rPr>
              <w:t xml:space="preserve"> </w:t>
            </w:r>
            <w:bookmarkStart w:id="36" w:name="_Ref75522986"/>
            <w:r w:rsidR="003D1F49">
              <w:rPr>
                <w:rFonts w:ascii="Times New Roman" w:hAnsi="Times New Roman"/>
                <w:sz w:val="24"/>
                <w:szCs w:val="24"/>
                <w:lang w:val="en-GB"/>
              </w:rPr>
              <w:t xml:space="preserve"> or</w:t>
            </w:r>
            <w:proofErr w:type="gramEnd"/>
            <w:r w:rsidR="003D1F49">
              <w:rPr>
                <w:rFonts w:ascii="Times New Roman" w:hAnsi="Times New Roman"/>
                <w:sz w:val="24"/>
                <w:szCs w:val="24"/>
                <w:lang w:val="en-GB"/>
              </w:rPr>
              <w:t xml:space="preserve"> non-SEPA</w:t>
            </w:r>
            <w:bookmarkStart w:id="37" w:name="_Ref80858815"/>
            <w:r w:rsidR="00A2638C">
              <w:rPr>
                <w:rStyle w:val="FootnoteReference"/>
                <w:rFonts w:ascii="Times New Roman" w:hAnsi="Times New Roman"/>
                <w:sz w:val="24"/>
                <w:szCs w:val="24"/>
                <w:lang w:val="en-GB"/>
              </w:rPr>
              <w:footnoteReference w:id="53"/>
            </w:r>
            <w:bookmarkEnd w:id="36"/>
            <w:bookmarkEnd w:id="37"/>
            <w:r w:rsidR="003D1F49">
              <w:rPr>
                <w:rFonts w:ascii="Times New Roman" w:hAnsi="Times New Roman"/>
                <w:sz w:val="24"/>
                <w:szCs w:val="24"/>
                <w:lang w:val="en-GB"/>
              </w:rPr>
              <w:t>.</w:t>
            </w:r>
            <w:r w:rsidRPr="00760F3B">
              <w:rPr>
                <w:rFonts w:ascii="Times New Roman" w:hAnsi="Times New Roman"/>
                <w:sz w:val="24"/>
                <w:szCs w:val="24"/>
                <w:lang w:val="en-GB"/>
              </w:rPr>
              <w:t xml:space="preserve"> International schemes are the SEPA CT scheme and the SEPA CT </w:t>
            </w:r>
            <w:proofErr w:type="spellStart"/>
            <w:r w:rsidRPr="00760F3B">
              <w:rPr>
                <w:rFonts w:ascii="Times New Roman" w:hAnsi="Times New Roman"/>
                <w:sz w:val="24"/>
                <w:szCs w:val="24"/>
                <w:lang w:val="en-GB"/>
              </w:rPr>
              <w:t>inst</w:t>
            </w:r>
            <w:proofErr w:type="spellEnd"/>
            <w:r w:rsidRPr="00760F3B">
              <w:rPr>
                <w:rFonts w:ascii="Times New Roman" w:hAnsi="Times New Roman"/>
                <w:sz w:val="24"/>
                <w:szCs w:val="24"/>
                <w:lang w:val="en-GB"/>
              </w:rPr>
              <w:t xml:space="preserve"> scheme</w:t>
            </w:r>
            <w:r w:rsidRPr="00E81877">
              <w:rPr>
                <w:rFonts w:ascii="Times New Roman" w:hAnsi="Times New Roman"/>
                <w:sz w:val="24"/>
                <w:szCs w:val="24"/>
                <w:lang w:val="en-GB"/>
              </w:rPr>
              <w:t>.</w:t>
            </w:r>
            <w:r w:rsidR="00F759CD">
              <w:rPr>
                <w:rFonts w:ascii="Times New Roman" w:hAnsi="Times New Roman"/>
                <w:sz w:val="24"/>
                <w:szCs w:val="24"/>
                <w:lang w:val="en-GB"/>
              </w:rPr>
              <w:t xml:space="preserve"> </w:t>
            </w:r>
            <w:r w:rsidR="00C661FD">
              <w:rPr>
                <w:rFonts w:ascii="Times New Roman" w:hAnsi="Times New Roman"/>
                <w:sz w:val="24"/>
                <w:szCs w:val="24"/>
                <w:lang w:val="en-GB"/>
              </w:rPr>
              <w:t>Non-SEPA schemes are further broken down into ‘on-us transactions’ and ‘not applicable’</w:t>
            </w:r>
            <w:r w:rsidR="00181AD0">
              <w:rPr>
                <w:rFonts w:ascii="Times New Roman" w:hAnsi="Times New Roman"/>
                <w:sz w:val="24"/>
                <w:szCs w:val="24"/>
                <w:lang w:val="en-GB"/>
              </w:rPr>
              <w:t>.</w:t>
            </w:r>
            <w:r w:rsidR="00C661FD" w:rsidRPr="00760F3B">
              <w:rPr>
                <w:rFonts w:ascii="Times New Roman" w:hAnsi="Times New Roman"/>
                <w:sz w:val="24"/>
                <w:szCs w:val="24"/>
                <w:lang w:val="en-GB"/>
              </w:rPr>
              <w:t xml:space="preserve"> In cases where the scheme used to process the transaction is not known, which could happen, for example, when payments are sent via a</w:t>
            </w:r>
            <w:r w:rsidR="00C661FD">
              <w:rPr>
                <w:rFonts w:ascii="Times New Roman" w:hAnsi="Times New Roman"/>
                <w:sz w:val="24"/>
                <w:szCs w:val="24"/>
                <w:lang w:val="en-GB"/>
              </w:rPr>
              <w:t xml:space="preserve"> correspondent bank, the scheme </w:t>
            </w:r>
            <w:r w:rsidR="00C661FD" w:rsidRPr="00760F3B">
              <w:rPr>
                <w:rFonts w:ascii="Times New Roman" w:hAnsi="Times New Roman"/>
                <w:sz w:val="24"/>
                <w:szCs w:val="24"/>
                <w:lang w:val="en-GB"/>
              </w:rPr>
              <w:t xml:space="preserve">dimension should be reported as “not applicable”. </w:t>
            </w:r>
            <w:r w:rsidR="00F759CD" w:rsidRPr="00F759CD">
              <w:rPr>
                <w:rFonts w:ascii="Times New Roman" w:hAnsi="Times New Roman"/>
                <w:sz w:val="24"/>
                <w:szCs w:val="24"/>
                <w:lang w:val="en-GB"/>
              </w:rPr>
              <w:t xml:space="preserve">TARGET2 transactions </w:t>
            </w:r>
            <w:proofErr w:type="gramStart"/>
            <w:r w:rsidR="00F759CD" w:rsidRPr="00F759CD">
              <w:rPr>
                <w:rFonts w:ascii="Times New Roman" w:hAnsi="Times New Roman"/>
                <w:sz w:val="24"/>
                <w:szCs w:val="24"/>
                <w:lang w:val="en-GB"/>
              </w:rPr>
              <w:t>are considered to be</w:t>
            </w:r>
            <w:proofErr w:type="gramEnd"/>
            <w:r w:rsidR="00F759CD" w:rsidRPr="00F759CD">
              <w:rPr>
                <w:rFonts w:ascii="Times New Roman" w:hAnsi="Times New Roman"/>
                <w:sz w:val="24"/>
                <w:szCs w:val="24"/>
                <w:lang w:val="en-GB"/>
              </w:rPr>
              <w:t xml:space="preserve"> transactions involving MFIs at both ends of the transact</w:t>
            </w:r>
            <w:r w:rsidR="00F759CD">
              <w:rPr>
                <w:rFonts w:ascii="Times New Roman" w:hAnsi="Times New Roman"/>
                <w:sz w:val="24"/>
                <w:szCs w:val="24"/>
                <w:lang w:val="en-GB"/>
              </w:rPr>
              <w:t>ion and are only included in this table</w:t>
            </w:r>
            <w:r w:rsidR="00F759CD" w:rsidRPr="00F759CD">
              <w:rPr>
                <w:rFonts w:ascii="Times New Roman" w:hAnsi="Times New Roman"/>
                <w:sz w:val="24"/>
                <w:szCs w:val="24"/>
                <w:lang w:val="en-GB"/>
              </w:rPr>
              <w:t xml:space="preserve"> if retail payment transactions are sent or received through the TARGET2 system. If the SEPA rules apply, these retail payment transactions are reported as SEPA scheme transactions</w:t>
            </w:r>
            <w:r w:rsidR="00F759CD">
              <w:rPr>
                <w:rFonts w:ascii="Times New Roman" w:hAnsi="Times New Roman"/>
                <w:sz w:val="24"/>
                <w:szCs w:val="24"/>
                <w:lang w:val="en-GB"/>
              </w:rPr>
              <w:t xml:space="preserve">, otherwise </w:t>
            </w:r>
            <w:r w:rsidR="00F759CD" w:rsidRPr="00F759CD">
              <w:rPr>
                <w:rFonts w:ascii="Times New Roman" w:hAnsi="Times New Roman"/>
                <w:sz w:val="24"/>
                <w:szCs w:val="24"/>
                <w:lang w:val="en-GB"/>
              </w:rPr>
              <w:t>the scheme breakdown is reported as “not applicable”</w:t>
            </w:r>
            <w:r w:rsidR="00F759CD">
              <w:rPr>
                <w:rFonts w:ascii="Times New Roman" w:hAnsi="Times New Roman"/>
                <w:sz w:val="24"/>
                <w:szCs w:val="24"/>
                <w:lang w:val="en-GB"/>
              </w:rPr>
              <w:t xml:space="preserve">. </w:t>
            </w:r>
            <w:r w:rsidR="00C661FD">
              <w:rPr>
                <w:rFonts w:ascii="Times New Roman" w:hAnsi="Times New Roman"/>
                <w:sz w:val="24"/>
                <w:szCs w:val="24"/>
                <w:lang w:val="en-GB"/>
              </w:rPr>
              <w:t>The scheme should be reported as ‘</w:t>
            </w:r>
            <w:r w:rsidRPr="00760F3B">
              <w:rPr>
                <w:rFonts w:ascii="Times New Roman" w:hAnsi="Times New Roman"/>
                <w:sz w:val="24"/>
                <w:szCs w:val="24"/>
                <w:lang w:val="en-GB"/>
              </w:rPr>
              <w:t>on-us transactions</w:t>
            </w:r>
            <w:r w:rsidR="00C661FD">
              <w:rPr>
                <w:rFonts w:ascii="Times New Roman" w:hAnsi="Times New Roman"/>
                <w:sz w:val="24"/>
                <w:szCs w:val="24"/>
                <w:lang w:val="en-GB"/>
              </w:rPr>
              <w:t>’ if a</w:t>
            </w:r>
            <w:r w:rsidRPr="00760F3B">
              <w:rPr>
                <w:rFonts w:ascii="Times New Roman" w:hAnsi="Times New Roman"/>
                <w:sz w:val="24"/>
                <w:szCs w:val="24"/>
                <w:lang w:val="en-GB"/>
              </w:rPr>
              <w:t xml:space="preserve"> </w:t>
            </w:r>
            <w:r w:rsidR="00C16E06">
              <w:rPr>
                <w:rFonts w:ascii="Times New Roman" w:hAnsi="Times New Roman"/>
                <w:sz w:val="24"/>
                <w:szCs w:val="24"/>
                <w:lang w:val="en-GB"/>
              </w:rPr>
              <w:t>clearing and settlement mechanism (</w:t>
            </w:r>
            <w:r w:rsidRPr="00760F3B">
              <w:rPr>
                <w:rFonts w:ascii="Times New Roman" w:hAnsi="Times New Roman"/>
                <w:sz w:val="24"/>
                <w:szCs w:val="24"/>
                <w:lang w:val="en-GB"/>
              </w:rPr>
              <w:t>CSM</w:t>
            </w:r>
            <w:r w:rsidR="00C16E06">
              <w:rPr>
                <w:rFonts w:ascii="Times New Roman" w:hAnsi="Times New Roman"/>
                <w:sz w:val="24"/>
                <w:szCs w:val="24"/>
                <w:lang w:val="en-GB"/>
              </w:rPr>
              <w:t>)</w:t>
            </w:r>
            <w:r w:rsidRPr="00760F3B">
              <w:rPr>
                <w:rFonts w:ascii="Times New Roman" w:hAnsi="Times New Roman"/>
                <w:sz w:val="24"/>
                <w:szCs w:val="24"/>
                <w:lang w:val="en-GB"/>
              </w:rPr>
              <w:t xml:space="preserve"> is not involved in the</w:t>
            </w:r>
            <w:r w:rsidR="00C661FD">
              <w:rPr>
                <w:rFonts w:ascii="Times New Roman" w:hAnsi="Times New Roman"/>
                <w:sz w:val="24"/>
                <w:szCs w:val="24"/>
                <w:lang w:val="en-GB"/>
              </w:rPr>
              <w:t xml:space="preserve"> processing of the transaction.</w:t>
            </w:r>
            <w:r w:rsidR="00C26CDC" w:rsidRPr="00C26CDC">
              <w:rPr>
                <w:rFonts w:ascii="Times New Roman" w:hAnsi="Times New Roman"/>
                <w:sz w:val="24"/>
                <w:szCs w:val="24"/>
                <w:lang w:val="en-GB"/>
              </w:rPr>
              <w:t xml:space="preserve"> </w:t>
            </w:r>
            <w:r w:rsidR="00810FBF" w:rsidRPr="00810FBF">
              <w:rPr>
                <w:rFonts w:ascii="Times New Roman" w:hAnsi="Times New Roman"/>
                <w:sz w:val="24"/>
                <w:szCs w:val="24"/>
                <w:lang w:val="en-GB"/>
              </w:rPr>
              <w:t xml:space="preserve">Regarding the reporting of SWIFT transactions, these are not reported as separate scheme since SWIFT as such is not a scheme and SWIFT is also used in some SEPA or TARGET2 transactions. If SWIFT is used for transactions processed via a scheme, the transaction is reported according to the scheme. Otherwise, </w:t>
            </w:r>
            <w:r w:rsidR="00810FBF" w:rsidRPr="00810FBF">
              <w:rPr>
                <w:rFonts w:ascii="Times New Roman" w:hAnsi="Times New Roman"/>
                <w:sz w:val="24"/>
                <w:szCs w:val="24"/>
                <w:lang w:val="en-GB"/>
              </w:rPr>
              <w:lastRenderedPageBreak/>
              <w:t>such transactions are reported with the scheme breakdown “not applicable”.</w:t>
            </w:r>
          </w:p>
          <w:p w14:paraId="67D94C36" w14:textId="77777777" w:rsidR="006F63D1" w:rsidRDefault="006F63D1" w:rsidP="006F63D1">
            <w:pPr>
              <w:spacing w:after="120" w:line="360" w:lineRule="auto"/>
              <w:jc w:val="both"/>
              <w:rPr>
                <w:rFonts w:ascii="Times New Roman" w:hAnsi="Times New Roman"/>
                <w:sz w:val="24"/>
                <w:szCs w:val="24"/>
                <w:lang w:val="en-GB"/>
              </w:rPr>
            </w:pPr>
            <w:r>
              <w:rPr>
                <w:rFonts w:ascii="Times New Roman" w:hAnsi="Times New Roman"/>
                <w:sz w:val="24"/>
                <w:szCs w:val="24"/>
                <w:lang w:val="en-GB"/>
              </w:rPr>
              <w:t>‘N</w:t>
            </w:r>
            <w:r w:rsidRPr="00D50E5F">
              <w:rPr>
                <w:rFonts w:ascii="Times New Roman" w:hAnsi="Times New Roman"/>
                <w:sz w:val="24"/>
                <w:szCs w:val="24"/>
                <w:lang w:val="en-GB"/>
              </w:rPr>
              <w:t>on-SEPA scheme_1</w:t>
            </w:r>
            <w:r>
              <w:rPr>
                <w:rFonts w:ascii="Times New Roman" w:hAnsi="Times New Roman"/>
                <w:sz w:val="24"/>
                <w:szCs w:val="24"/>
                <w:lang w:val="en-GB"/>
              </w:rPr>
              <w:t>’ and ‘</w:t>
            </w:r>
            <w:proofErr w:type="gramStart"/>
            <w:r>
              <w:rPr>
                <w:rFonts w:ascii="Times New Roman" w:hAnsi="Times New Roman"/>
                <w:sz w:val="24"/>
                <w:szCs w:val="24"/>
                <w:lang w:val="en-GB"/>
              </w:rPr>
              <w:t>N</w:t>
            </w:r>
            <w:r w:rsidRPr="00D50E5F">
              <w:rPr>
                <w:rFonts w:ascii="Times New Roman" w:hAnsi="Times New Roman"/>
                <w:sz w:val="24"/>
                <w:szCs w:val="24"/>
                <w:lang w:val="en-GB"/>
              </w:rPr>
              <w:t>on-SEPA</w:t>
            </w:r>
            <w:proofErr w:type="gramEnd"/>
            <w:r w:rsidRPr="00D50E5F">
              <w:rPr>
                <w:rFonts w:ascii="Times New Roman" w:hAnsi="Times New Roman"/>
                <w:sz w:val="24"/>
                <w:szCs w:val="24"/>
                <w:lang w:val="en-GB"/>
              </w:rPr>
              <w:t xml:space="preserve"> scheme_</w:t>
            </w:r>
            <w:r>
              <w:rPr>
                <w:rFonts w:ascii="Times New Roman" w:hAnsi="Times New Roman"/>
                <w:sz w:val="24"/>
                <w:szCs w:val="24"/>
                <w:lang w:val="en-GB"/>
              </w:rPr>
              <w:t>2’ correspond to national credit transfer schemes</w:t>
            </w:r>
            <w:r>
              <w:rPr>
                <w:rStyle w:val="FootnoteReference"/>
                <w:rFonts w:ascii="Times New Roman" w:hAnsi="Times New Roman"/>
                <w:sz w:val="24"/>
                <w:szCs w:val="24"/>
                <w:lang w:val="en-GB"/>
              </w:rPr>
              <w:footnoteReference w:id="54"/>
            </w:r>
            <w:r>
              <w:rPr>
                <w:rFonts w:ascii="Times New Roman" w:hAnsi="Times New Roman"/>
                <w:sz w:val="24"/>
                <w:szCs w:val="24"/>
                <w:lang w:val="en-GB"/>
              </w:rPr>
              <w:t xml:space="preserve">. </w:t>
            </w:r>
          </w:p>
          <w:p w14:paraId="1EEDE109" w14:textId="77777777" w:rsidR="003C42A7" w:rsidRPr="00E81877" w:rsidRDefault="003C42A7" w:rsidP="003C42A7">
            <w:pPr>
              <w:spacing w:after="120" w:line="360" w:lineRule="auto"/>
              <w:jc w:val="both"/>
              <w:rPr>
                <w:rFonts w:ascii="Times New Roman" w:hAnsi="Times New Roman"/>
                <w:sz w:val="24"/>
                <w:szCs w:val="24"/>
                <w:u w:val="single"/>
                <w:lang w:val="en-GB"/>
              </w:rPr>
            </w:pPr>
            <w:r w:rsidRPr="00E81877">
              <w:rPr>
                <w:rFonts w:ascii="Times New Roman" w:hAnsi="Times New Roman"/>
                <w:sz w:val="24"/>
                <w:szCs w:val="24"/>
                <w:u w:val="single"/>
                <w:lang w:val="en-GB"/>
              </w:rPr>
              <w:t>Authentication channel</w:t>
            </w:r>
          </w:p>
          <w:p w14:paraId="5E06608C" w14:textId="2C93CF54" w:rsidR="003C42A7" w:rsidRDefault="00332004" w:rsidP="00E65227">
            <w:pPr>
              <w:spacing w:after="120" w:line="360" w:lineRule="auto"/>
              <w:jc w:val="both"/>
              <w:rPr>
                <w:rFonts w:ascii="Times New Roman" w:hAnsi="Times New Roman"/>
                <w:sz w:val="24"/>
                <w:szCs w:val="24"/>
                <w:lang w:val="en-GB"/>
              </w:rPr>
            </w:pPr>
            <w:r w:rsidRPr="00332004">
              <w:rPr>
                <w:rFonts w:ascii="Times New Roman" w:hAnsi="Times New Roman"/>
                <w:sz w:val="24"/>
                <w:szCs w:val="24"/>
                <w:lang w:val="en-GB"/>
              </w:rPr>
              <w:t xml:space="preserve">Payment transactions are the sum of those ‘authenticated via SCA’ and those ‘authenticated via non-SCA’.  The latter is further broken down into the </w:t>
            </w:r>
            <w:r w:rsidR="003C42A7" w:rsidRPr="00760F3B">
              <w:rPr>
                <w:rFonts w:ascii="Times New Roman" w:hAnsi="Times New Roman"/>
                <w:sz w:val="24"/>
                <w:szCs w:val="24"/>
                <w:lang w:val="en-GB"/>
              </w:rPr>
              <w:t>reasons</w:t>
            </w:r>
            <w:bookmarkStart w:id="38" w:name="_Ref75508349"/>
            <w:r w:rsidR="00E65227" w:rsidRPr="0066498B">
              <w:rPr>
                <w:rStyle w:val="FootnoteReference"/>
                <w:rFonts w:ascii="Times New Roman" w:hAnsi="Times New Roman"/>
                <w:sz w:val="24"/>
                <w:szCs w:val="24"/>
                <w:lang w:val="en-GB"/>
              </w:rPr>
              <w:footnoteReference w:id="55"/>
            </w:r>
            <w:bookmarkEnd w:id="38"/>
            <w:r w:rsidR="003C42A7" w:rsidRPr="0066498B">
              <w:rPr>
                <w:rStyle w:val="FootnoteReference"/>
                <w:lang w:val="en-GB"/>
              </w:rPr>
              <w:t xml:space="preserve"> </w:t>
            </w:r>
            <w:r w:rsidR="003C42A7" w:rsidRPr="00760F3B">
              <w:rPr>
                <w:rFonts w:ascii="Times New Roman" w:hAnsi="Times New Roman"/>
                <w:sz w:val="24"/>
                <w:szCs w:val="24"/>
                <w:lang w:val="en-GB"/>
              </w:rPr>
              <w:t xml:space="preserve">for </w:t>
            </w:r>
            <w:r w:rsidR="009E6FC5">
              <w:rPr>
                <w:rFonts w:ascii="Times New Roman" w:hAnsi="Times New Roman"/>
                <w:sz w:val="24"/>
                <w:szCs w:val="24"/>
                <w:lang w:val="en-GB"/>
              </w:rPr>
              <w:t>authenticating via</w:t>
            </w:r>
            <w:r w:rsidR="00C13760">
              <w:rPr>
                <w:rFonts w:ascii="Times New Roman" w:hAnsi="Times New Roman"/>
                <w:sz w:val="24"/>
                <w:szCs w:val="24"/>
                <w:lang w:val="en-GB"/>
              </w:rPr>
              <w:t xml:space="preserve"> non-SCA (i.e. ‘Low value’, ‘Contactless low value’, ‘Payment to self’, ‘T</w:t>
            </w:r>
            <w:r w:rsidR="003C42A7" w:rsidRPr="00760F3B">
              <w:rPr>
                <w:rFonts w:ascii="Times New Roman" w:hAnsi="Times New Roman"/>
                <w:sz w:val="24"/>
                <w:szCs w:val="24"/>
                <w:lang w:val="en-GB"/>
              </w:rPr>
              <w:t xml:space="preserve">rusted beneficiaries’, </w:t>
            </w:r>
            <w:r w:rsidR="00C13760">
              <w:rPr>
                <w:rFonts w:ascii="Times New Roman" w:hAnsi="Times New Roman"/>
                <w:sz w:val="24"/>
                <w:szCs w:val="24"/>
                <w:lang w:val="en-GB"/>
              </w:rPr>
              <w:t>‘R</w:t>
            </w:r>
            <w:r w:rsidR="003C42A7" w:rsidRPr="00760F3B">
              <w:rPr>
                <w:rFonts w:ascii="Times New Roman" w:hAnsi="Times New Roman"/>
                <w:sz w:val="24"/>
                <w:szCs w:val="24"/>
                <w:lang w:val="en-GB"/>
              </w:rPr>
              <w:t>ecurring transac</w:t>
            </w:r>
            <w:r w:rsidR="00C13760">
              <w:rPr>
                <w:rFonts w:ascii="Times New Roman" w:hAnsi="Times New Roman"/>
                <w:sz w:val="24"/>
                <w:szCs w:val="24"/>
                <w:lang w:val="en-GB"/>
              </w:rPr>
              <w:t>tion’, ‘U</w:t>
            </w:r>
            <w:r w:rsidR="003C42A7" w:rsidRPr="00760F3B">
              <w:rPr>
                <w:rFonts w:ascii="Times New Roman" w:hAnsi="Times New Roman"/>
                <w:sz w:val="24"/>
                <w:szCs w:val="24"/>
                <w:lang w:val="en-GB"/>
              </w:rPr>
              <w:t>nattended terminals for tran</w:t>
            </w:r>
            <w:r w:rsidR="00C13760">
              <w:rPr>
                <w:rFonts w:ascii="Times New Roman" w:hAnsi="Times New Roman"/>
                <w:sz w:val="24"/>
                <w:szCs w:val="24"/>
                <w:lang w:val="en-GB"/>
              </w:rPr>
              <w:t>sport fares or parking fees’, ‘S</w:t>
            </w:r>
            <w:r w:rsidR="003C42A7" w:rsidRPr="00760F3B">
              <w:rPr>
                <w:rFonts w:ascii="Times New Roman" w:hAnsi="Times New Roman"/>
                <w:sz w:val="24"/>
                <w:szCs w:val="24"/>
                <w:lang w:val="en-GB"/>
              </w:rPr>
              <w:t>ecure corporate payment</w:t>
            </w:r>
            <w:r w:rsidR="00C13760">
              <w:rPr>
                <w:rFonts w:ascii="Times New Roman" w:hAnsi="Times New Roman"/>
                <w:sz w:val="24"/>
                <w:szCs w:val="24"/>
                <w:lang w:val="en-GB"/>
              </w:rPr>
              <w:t xml:space="preserve"> processes and protocols’ and ‘T</w:t>
            </w:r>
            <w:r w:rsidR="003C42A7" w:rsidRPr="00760F3B">
              <w:rPr>
                <w:rFonts w:ascii="Times New Roman" w:hAnsi="Times New Roman"/>
                <w:sz w:val="24"/>
                <w:szCs w:val="24"/>
                <w:lang w:val="en-GB"/>
              </w:rPr>
              <w:t>ransaction risk analysis’)</w:t>
            </w:r>
            <w:r w:rsidR="003D1F49">
              <w:rPr>
                <w:rFonts w:ascii="Times New Roman" w:hAnsi="Times New Roman"/>
                <w:sz w:val="24"/>
                <w:szCs w:val="24"/>
                <w:lang w:val="en-GB"/>
              </w:rPr>
              <w:t>.</w:t>
            </w:r>
            <w:r w:rsidR="00FC4702">
              <w:rPr>
                <w:rFonts w:ascii="Times New Roman" w:hAnsi="Times New Roman"/>
                <w:sz w:val="24"/>
                <w:szCs w:val="24"/>
                <w:lang w:val="en-GB"/>
              </w:rPr>
              <w:t xml:space="preserve"> T</w:t>
            </w:r>
            <w:r w:rsidR="008C57DA" w:rsidRPr="008C57DA">
              <w:rPr>
                <w:rFonts w:ascii="Times New Roman" w:hAnsi="Times New Roman"/>
                <w:sz w:val="24"/>
                <w:szCs w:val="24"/>
                <w:lang w:val="en-GB"/>
              </w:rPr>
              <w:t>he</w:t>
            </w:r>
            <w:r w:rsidR="00FC4702">
              <w:rPr>
                <w:rFonts w:ascii="Times New Roman" w:hAnsi="Times New Roman"/>
                <w:sz w:val="24"/>
                <w:szCs w:val="24"/>
                <w:lang w:val="en-GB"/>
              </w:rPr>
              <w:t>se</w:t>
            </w:r>
            <w:r w:rsidR="008C57DA" w:rsidRPr="008C57DA">
              <w:rPr>
                <w:rFonts w:ascii="Times New Roman" w:hAnsi="Times New Roman"/>
                <w:sz w:val="24"/>
                <w:szCs w:val="24"/>
                <w:lang w:val="en-GB"/>
              </w:rPr>
              <w:t xml:space="preserve"> sub-categories are mutually exclusive</w:t>
            </w:r>
            <w:r w:rsidR="00FC4702">
              <w:rPr>
                <w:rFonts w:ascii="Times New Roman" w:hAnsi="Times New Roman"/>
                <w:sz w:val="24"/>
                <w:szCs w:val="24"/>
                <w:lang w:val="en-GB"/>
              </w:rPr>
              <w:t>.</w:t>
            </w:r>
          </w:p>
          <w:p w14:paraId="26DEDCDB" w14:textId="47E24CF6" w:rsidR="00D50E5F" w:rsidRPr="00D50E5F" w:rsidRDefault="00D50E5F" w:rsidP="00E65227">
            <w:pPr>
              <w:spacing w:after="120" w:line="360" w:lineRule="auto"/>
              <w:jc w:val="both"/>
              <w:rPr>
                <w:rFonts w:ascii="Times New Roman" w:hAnsi="Times New Roman"/>
                <w:sz w:val="24"/>
                <w:szCs w:val="24"/>
                <w:lang w:val="en-GB"/>
              </w:rPr>
            </w:pPr>
            <w:r w:rsidRPr="00D50E5F">
              <w:rPr>
                <w:rFonts w:ascii="Times New Roman" w:hAnsi="Times New Roman"/>
                <w:sz w:val="24"/>
                <w:szCs w:val="24"/>
                <w:lang w:val="en-GB"/>
              </w:rPr>
              <w:t>For transactions initiated by a PISP, the same approach should be followed as for transactions initiated by a PSU</w:t>
            </w:r>
            <w:r w:rsidR="005E06A3" w:rsidRPr="005E06A3">
              <w:rPr>
                <w:rStyle w:val="FootnoteReference"/>
              </w:rPr>
              <w:fldChar w:fldCharType="begin"/>
            </w:r>
            <w:r w:rsidR="005E06A3" w:rsidRPr="005E06A3">
              <w:rPr>
                <w:rStyle w:val="FootnoteReference"/>
                <w:lang w:val="en-GB"/>
              </w:rPr>
              <w:instrText xml:space="preserve"> NOTEREF _Ref95804109 \h  \* MERGEFORMAT </w:instrText>
            </w:r>
            <w:r w:rsidR="005E06A3" w:rsidRPr="005E06A3">
              <w:rPr>
                <w:rStyle w:val="FootnoteReference"/>
              </w:rPr>
            </w:r>
            <w:r w:rsidR="005E06A3" w:rsidRPr="005E06A3">
              <w:rPr>
                <w:rStyle w:val="FootnoteReference"/>
              </w:rPr>
              <w:fldChar w:fldCharType="separate"/>
            </w:r>
            <w:r w:rsidR="00F53249">
              <w:rPr>
                <w:rStyle w:val="FootnoteReference"/>
                <w:lang w:val="en-GB"/>
              </w:rPr>
              <w:t>13</w:t>
            </w:r>
            <w:r w:rsidR="005E06A3" w:rsidRPr="005E06A3">
              <w:rPr>
                <w:rStyle w:val="FootnoteReference"/>
              </w:rPr>
              <w:fldChar w:fldCharType="end"/>
            </w:r>
            <w:r w:rsidR="005E06A3">
              <w:rPr>
                <w:rFonts w:ascii="Times New Roman" w:hAnsi="Times New Roman"/>
                <w:sz w:val="24"/>
                <w:szCs w:val="24"/>
                <w:lang w:val="en-GB"/>
              </w:rPr>
              <w:t>.</w:t>
            </w:r>
          </w:p>
        </w:tc>
      </w:tr>
      <w:tr w:rsidR="003C42A7" w:rsidRPr="00F53249" w14:paraId="2B95480A" w14:textId="77777777" w:rsidTr="002D24D2">
        <w:tc>
          <w:tcPr>
            <w:tcW w:w="9634" w:type="dxa"/>
            <w:gridSpan w:val="2"/>
            <w:shd w:val="clear" w:color="auto" w:fill="003199"/>
          </w:tcPr>
          <w:p w14:paraId="6E5770F5" w14:textId="715E44B0" w:rsidR="003C42A7" w:rsidRPr="00760F3B" w:rsidRDefault="00CC4F19" w:rsidP="000F1F24">
            <w:pPr>
              <w:spacing w:after="120" w:line="360" w:lineRule="auto"/>
              <w:jc w:val="both"/>
              <w:rPr>
                <w:rFonts w:ascii="Times New Roman" w:hAnsi="Times New Roman"/>
                <w:b/>
                <w:sz w:val="24"/>
                <w:szCs w:val="24"/>
                <w:lang w:val="en-GB"/>
              </w:rPr>
            </w:pPr>
            <w:r>
              <w:rPr>
                <w:rFonts w:ascii="Times New Roman" w:hAnsi="Times New Roman"/>
                <w:b/>
                <w:sz w:val="24"/>
                <w:szCs w:val="24"/>
                <w:lang w:val="en-GB"/>
              </w:rPr>
              <w:lastRenderedPageBreak/>
              <w:t>Credit Transfers R</w:t>
            </w:r>
            <w:r w:rsidR="003C42A7" w:rsidRPr="00760F3B">
              <w:rPr>
                <w:rFonts w:ascii="Times New Roman" w:hAnsi="Times New Roman"/>
                <w:b/>
                <w:sz w:val="24"/>
                <w:szCs w:val="24"/>
                <w:lang w:val="en-GB"/>
              </w:rPr>
              <w:t>eceived</w:t>
            </w:r>
            <w:r w:rsidR="000F1F24">
              <w:rPr>
                <w:rFonts w:ascii="Times New Roman" w:hAnsi="Times New Roman"/>
                <w:b/>
                <w:sz w:val="24"/>
                <w:szCs w:val="24"/>
                <w:lang w:val="en-GB"/>
              </w:rPr>
              <w:t xml:space="preserve"> </w:t>
            </w:r>
            <w:r w:rsidR="000F1F24" w:rsidRPr="000F1F24">
              <w:rPr>
                <w:rFonts w:ascii="Times New Roman" w:hAnsi="Times New Roman"/>
                <w:i/>
                <w:lang w:val="en-GB"/>
              </w:rPr>
              <w:t>(</w:t>
            </w:r>
            <w:r w:rsidR="000F1F24" w:rsidRPr="000F1F24">
              <w:rPr>
                <w:rFonts w:ascii="Times New Roman" w:hAnsi="Times New Roman"/>
                <w:i/>
                <w:sz w:val="24"/>
                <w:szCs w:val="24"/>
                <w:lang w:val="en-GB"/>
              </w:rPr>
              <w:t xml:space="preserve">refers to worksheet </w:t>
            </w:r>
            <w:r w:rsidR="000F1F24">
              <w:rPr>
                <w:rFonts w:ascii="Times New Roman" w:hAnsi="Times New Roman"/>
                <w:i/>
                <w:sz w:val="24"/>
                <w:szCs w:val="24"/>
                <w:lang w:val="en-GB"/>
              </w:rPr>
              <w:t>11</w:t>
            </w:r>
            <w:r w:rsidR="000F1F24" w:rsidRPr="000F1F24">
              <w:rPr>
                <w:rFonts w:ascii="Times New Roman" w:hAnsi="Times New Roman"/>
                <w:i/>
                <w:lang w:val="en-GB"/>
              </w:rPr>
              <w:t>)</w:t>
            </w:r>
          </w:p>
        </w:tc>
      </w:tr>
      <w:tr w:rsidR="003C42A7" w:rsidRPr="00F53249" w14:paraId="07ACBD2E" w14:textId="77777777" w:rsidTr="002D24D2">
        <w:tc>
          <w:tcPr>
            <w:tcW w:w="2483" w:type="dxa"/>
          </w:tcPr>
          <w:p w14:paraId="18F963CE" w14:textId="77777777" w:rsidR="003C42A7" w:rsidRPr="00FB6888" w:rsidRDefault="003C42A7" w:rsidP="003D1E63">
            <w:pPr>
              <w:spacing w:after="120" w:line="360" w:lineRule="auto"/>
              <w:rPr>
                <w:rFonts w:ascii="Times New Roman" w:hAnsi="Times New Roman"/>
                <w:b/>
                <w:sz w:val="24"/>
                <w:szCs w:val="24"/>
                <w:lang w:val="en-GB"/>
              </w:rPr>
            </w:pPr>
            <w:r w:rsidRPr="00FB6888">
              <w:rPr>
                <w:rFonts w:ascii="Times New Roman" w:hAnsi="Times New Roman"/>
                <w:b/>
                <w:sz w:val="24"/>
                <w:szCs w:val="24"/>
                <w:lang w:val="en-GB"/>
              </w:rPr>
              <w:t xml:space="preserve">Credit transfers </w:t>
            </w:r>
          </w:p>
        </w:tc>
        <w:tc>
          <w:tcPr>
            <w:tcW w:w="7151" w:type="dxa"/>
          </w:tcPr>
          <w:p w14:paraId="327683D8" w14:textId="77777777" w:rsidR="003C42A7" w:rsidRPr="00760F3B" w:rsidRDefault="003C42A7" w:rsidP="0062291E">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Report the number and value of all the credit transfers received and the beneficiary of </w:t>
            </w:r>
            <w:r w:rsidR="0062291E">
              <w:rPr>
                <w:rFonts w:ascii="Times New Roman" w:hAnsi="Times New Roman"/>
                <w:sz w:val="24"/>
                <w:szCs w:val="24"/>
                <w:lang w:val="en-GB"/>
              </w:rPr>
              <w:t>the funds is a customer of the R</w:t>
            </w:r>
            <w:r w:rsidRPr="00760F3B">
              <w:rPr>
                <w:rFonts w:ascii="Times New Roman" w:hAnsi="Times New Roman"/>
                <w:sz w:val="24"/>
                <w:szCs w:val="24"/>
                <w:lang w:val="en-GB"/>
              </w:rPr>
              <w:t xml:space="preserve">eporting </w:t>
            </w:r>
            <w:r w:rsidR="0062291E">
              <w:rPr>
                <w:rFonts w:ascii="Times New Roman" w:hAnsi="Times New Roman"/>
                <w:sz w:val="24"/>
                <w:szCs w:val="24"/>
                <w:lang w:val="en-GB"/>
              </w:rPr>
              <w:t>Agent</w:t>
            </w:r>
            <w:r w:rsidRPr="00760F3B">
              <w:rPr>
                <w:rFonts w:ascii="Times New Roman" w:hAnsi="Times New Roman"/>
                <w:sz w:val="24"/>
                <w:szCs w:val="24"/>
                <w:lang w:val="en-GB"/>
              </w:rPr>
              <w:t>.</w:t>
            </w:r>
          </w:p>
        </w:tc>
      </w:tr>
    </w:tbl>
    <w:p w14:paraId="08E23AAC" w14:textId="77777777" w:rsidR="00591697" w:rsidRPr="00760F3B" w:rsidRDefault="00591697"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727C2F12" w14:textId="77777777" w:rsidTr="00F40693">
        <w:tc>
          <w:tcPr>
            <w:tcW w:w="9634" w:type="dxa"/>
            <w:gridSpan w:val="2"/>
            <w:shd w:val="clear" w:color="auto" w:fill="003199"/>
          </w:tcPr>
          <w:p w14:paraId="69F18B5C" w14:textId="45D650FF" w:rsidR="00591697" w:rsidRPr="00760F3B" w:rsidRDefault="00CC4F19" w:rsidP="000F1F24">
            <w:pPr>
              <w:spacing w:after="120" w:line="360" w:lineRule="auto"/>
              <w:jc w:val="both"/>
              <w:rPr>
                <w:rFonts w:ascii="Times New Roman" w:hAnsi="Times New Roman"/>
                <w:b/>
                <w:bCs/>
                <w:sz w:val="24"/>
                <w:szCs w:val="24"/>
                <w:lang w:val="en-GB"/>
              </w:rPr>
            </w:pPr>
            <w:r>
              <w:rPr>
                <w:rFonts w:ascii="Times New Roman" w:hAnsi="Times New Roman"/>
                <w:b/>
                <w:bCs/>
                <w:sz w:val="24"/>
                <w:szCs w:val="24"/>
                <w:lang w:val="en-GB"/>
              </w:rPr>
              <w:t>Direct Debits S</w:t>
            </w:r>
            <w:r w:rsidR="00591697" w:rsidRPr="00760F3B">
              <w:rPr>
                <w:rFonts w:ascii="Times New Roman" w:hAnsi="Times New Roman"/>
                <w:b/>
                <w:bCs/>
                <w:sz w:val="24"/>
                <w:szCs w:val="24"/>
                <w:lang w:val="en-GB"/>
              </w:rPr>
              <w:t>ent</w:t>
            </w:r>
            <w:r w:rsidR="000F1F24">
              <w:rPr>
                <w:rFonts w:ascii="Times New Roman" w:hAnsi="Times New Roman"/>
                <w:b/>
                <w:bCs/>
                <w:sz w:val="24"/>
                <w:szCs w:val="24"/>
                <w:lang w:val="en-GB"/>
              </w:rPr>
              <w:t xml:space="preserve"> </w:t>
            </w:r>
            <w:r w:rsidR="000F1F24" w:rsidRPr="000F1F24">
              <w:rPr>
                <w:rFonts w:ascii="Times New Roman" w:hAnsi="Times New Roman"/>
                <w:i/>
                <w:lang w:val="en-GB"/>
              </w:rPr>
              <w:t>(</w:t>
            </w:r>
            <w:r w:rsidR="000F1F24" w:rsidRPr="000F1F24">
              <w:rPr>
                <w:rFonts w:ascii="Times New Roman" w:hAnsi="Times New Roman"/>
                <w:i/>
                <w:sz w:val="24"/>
                <w:szCs w:val="24"/>
                <w:lang w:val="en-GB"/>
              </w:rPr>
              <w:t xml:space="preserve">refers to worksheet </w:t>
            </w:r>
            <w:r w:rsidR="000F1F24">
              <w:rPr>
                <w:rFonts w:ascii="Times New Roman" w:hAnsi="Times New Roman"/>
                <w:i/>
                <w:sz w:val="24"/>
                <w:szCs w:val="24"/>
                <w:lang w:val="en-GB"/>
              </w:rPr>
              <w:t>6</w:t>
            </w:r>
            <w:r w:rsidR="000F1F24" w:rsidRPr="000F1F24">
              <w:rPr>
                <w:rFonts w:ascii="Times New Roman" w:hAnsi="Times New Roman"/>
                <w:i/>
                <w:lang w:val="en-GB"/>
              </w:rPr>
              <w:t>)</w:t>
            </w:r>
          </w:p>
        </w:tc>
      </w:tr>
      <w:tr w:rsidR="00591697" w:rsidRPr="00F53249" w14:paraId="170B8264" w14:textId="77777777" w:rsidTr="00F40693">
        <w:tc>
          <w:tcPr>
            <w:tcW w:w="2483" w:type="dxa"/>
          </w:tcPr>
          <w:p w14:paraId="2126BFE6" w14:textId="77777777" w:rsidR="00591697" w:rsidRDefault="00591697" w:rsidP="003D1E63">
            <w:pPr>
              <w:spacing w:after="120" w:line="360" w:lineRule="auto"/>
              <w:rPr>
                <w:rFonts w:ascii="Times New Roman" w:hAnsi="Times New Roman"/>
                <w:sz w:val="24"/>
                <w:szCs w:val="24"/>
                <w:lang w:val="en-GB"/>
              </w:rPr>
            </w:pPr>
            <w:r w:rsidRPr="00FB6888">
              <w:rPr>
                <w:rFonts w:ascii="Times New Roman" w:hAnsi="Times New Roman"/>
                <w:b/>
                <w:sz w:val="24"/>
                <w:szCs w:val="24"/>
                <w:lang w:val="en-GB"/>
              </w:rPr>
              <w:t>Direct debit</w:t>
            </w:r>
            <w:r w:rsidR="00850EF0" w:rsidRPr="00FB6888">
              <w:rPr>
                <w:rFonts w:ascii="Times New Roman" w:hAnsi="Times New Roman"/>
                <w:b/>
                <w:sz w:val="24"/>
                <w:szCs w:val="24"/>
                <w:lang w:val="en-GB"/>
              </w:rPr>
              <w:t>s</w:t>
            </w:r>
            <w:r w:rsidRPr="00760F3B">
              <w:rPr>
                <w:rStyle w:val="FootnoteReference"/>
                <w:rFonts w:ascii="Times New Roman" w:hAnsi="Times New Roman"/>
                <w:sz w:val="24"/>
                <w:szCs w:val="24"/>
                <w:lang w:val="en-GB"/>
              </w:rPr>
              <w:footnoteReference w:id="56"/>
            </w:r>
          </w:p>
          <w:p w14:paraId="669CA5DB" w14:textId="77777777" w:rsidR="00591697" w:rsidRPr="00760F3B" w:rsidRDefault="00591697" w:rsidP="007A730E">
            <w:pPr>
              <w:spacing w:after="120" w:line="360" w:lineRule="auto"/>
              <w:jc w:val="both"/>
              <w:rPr>
                <w:rFonts w:ascii="Times New Roman" w:hAnsi="Times New Roman"/>
                <w:sz w:val="24"/>
                <w:szCs w:val="24"/>
                <w:lang w:val="en-GB"/>
              </w:rPr>
            </w:pPr>
          </w:p>
        </w:tc>
        <w:tc>
          <w:tcPr>
            <w:tcW w:w="7151" w:type="dxa"/>
          </w:tcPr>
          <w:p w14:paraId="2293B174" w14:textId="77777777" w:rsidR="0042655C" w:rsidRPr="00214C27" w:rsidRDefault="00591697" w:rsidP="00C26CDC">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Report the number and value of direct debits that a</w:t>
            </w:r>
            <w:r w:rsidR="00334C74">
              <w:rPr>
                <w:rFonts w:ascii="Times New Roman" w:hAnsi="Times New Roman"/>
                <w:sz w:val="24"/>
                <w:szCs w:val="24"/>
                <w:lang w:val="en-GB"/>
              </w:rPr>
              <w:t>re initiated by the payee (e.g.</w:t>
            </w:r>
            <w:r w:rsidRPr="00760F3B">
              <w:rPr>
                <w:rFonts w:ascii="Times New Roman" w:hAnsi="Times New Roman"/>
                <w:sz w:val="24"/>
                <w:szCs w:val="24"/>
                <w:lang w:val="en-GB"/>
              </w:rPr>
              <w:t xml:space="preserve"> a utility company) </w:t>
            </w:r>
            <w:proofErr w:type="gramStart"/>
            <w:r w:rsidRPr="00760F3B">
              <w:rPr>
                <w:rFonts w:ascii="Times New Roman" w:hAnsi="Times New Roman"/>
                <w:sz w:val="24"/>
                <w:szCs w:val="24"/>
                <w:lang w:val="en-GB"/>
              </w:rPr>
              <w:t>on the basis of</w:t>
            </w:r>
            <w:proofErr w:type="gramEnd"/>
            <w:r w:rsidRPr="00760F3B">
              <w:rPr>
                <w:rFonts w:ascii="Times New Roman" w:hAnsi="Times New Roman"/>
                <w:sz w:val="24"/>
                <w:szCs w:val="24"/>
                <w:lang w:val="en-GB"/>
              </w:rPr>
              <w:t xml:space="preserve"> a mandate given by the payer. </w:t>
            </w:r>
            <w:r w:rsidR="0005594E" w:rsidRPr="00760F3B">
              <w:rPr>
                <w:rFonts w:ascii="Times New Roman" w:hAnsi="Times New Roman"/>
                <w:sz w:val="24"/>
                <w:szCs w:val="24"/>
                <w:lang w:val="en-GB"/>
              </w:rPr>
              <w:t xml:space="preserve">The </w:t>
            </w:r>
            <w:r w:rsidR="000639FF">
              <w:rPr>
                <w:rFonts w:ascii="Times New Roman" w:hAnsi="Times New Roman"/>
                <w:sz w:val="24"/>
                <w:szCs w:val="24"/>
                <w:lang w:val="en-GB"/>
              </w:rPr>
              <w:t>Reporting A</w:t>
            </w:r>
            <w:r w:rsidR="0005594E">
              <w:rPr>
                <w:rFonts w:ascii="Times New Roman" w:hAnsi="Times New Roman"/>
                <w:sz w:val="24"/>
                <w:szCs w:val="24"/>
                <w:lang w:val="en-GB"/>
              </w:rPr>
              <w:t>gent</w:t>
            </w:r>
            <w:r w:rsidR="0005594E" w:rsidRPr="00760F3B">
              <w:rPr>
                <w:rFonts w:ascii="Times New Roman" w:hAnsi="Times New Roman"/>
                <w:sz w:val="24"/>
                <w:szCs w:val="24"/>
                <w:lang w:val="en-GB"/>
              </w:rPr>
              <w:t xml:space="preserve"> should report all the direct debits where the beneficiary of the funds is their own customer</w:t>
            </w:r>
            <w:r w:rsidR="0005594E">
              <w:rPr>
                <w:rFonts w:ascii="Times New Roman" w:hAnsi="Times New Roman"/>
                <w:sz w:val="24"/>
                <w:szCs w:val="24"/>
                <w:lang w:val="en-GB"/>
              </w:rPr>
              <w:t>.</w:t>
            </w:r>
            <w:r w:rsidR="0005594E" w:rsidRPr="00760F3B">
              <w:rPr>
                <w:rFonts w:ascii="Times New Roman" w:hAnsi="Times New Roman"/>
                <w:sz w:val="24"/>
                <w:szCs w:val="24"/>
                <w:lang w:val="en-GB"/>
              </w:rPr>
              <w:t xml:space="preserve"> </w:t>
            </w:r>
          </w:p>
        </w:tc>
      </w:tr>
      <w:tr w:rsidR="007A730E" w:rsidRPr="00EA5677" w14:paraId="55106EA8" w14:textId="77777777" w:rsidTr="00F40693">
        <w:tc>
          <w:tcPr>
            <w:tcW w:w="2483" w:type="dxa"/>
          </w:tcPr>
          <w:p w14:paraId="2F95E23D" w14:textId="77777777" w:rsidR="007A730E" w:rsidRPr="00760F3B" w:rsidRDefault="00EA5677" w:rsidP="003D1E63">
            <w:pPr>
              <w:spacing w:after="120" w:line="360" w:lineRule="auto"/>
              <w:rPr>
                <w:rFonts w:ascii="Times New Roman" w:hAnsi="Times New Roman"/>
                <w:sz w:val="24"/>
                <w:szCs w:val="24"/>
                <w:lang w:val="en-GB"/>
              </w:rPr>
            </w:pPr>
            <w:r>
              <w:rPr>
                <w:rFonts w:ascii="Times New Roman" w:hAnsi="Times New Roman"/>
                <w:sz w:val="24"/>
                <w:szCs w:val="24"/>
                <w:lang w:val="en-GB"/>
              </w:rPr>
              <w:lastRenderedPageBreak/>
              <w:t>‘I</w:t>
            </w:r>
            <w:r w:rsidR="007A730E" w:rsidRPr="003C42A7">
              <w:rPr>
                <w:rFonts w:ascii="Times New Roman" w:hAnsi="Times New Roman"/>
                <w:sz w:val="24"/>
                <w:szCs w:val="24"/>
                <w:lang w:val="en-GB"/>
              </w:rPr>
              <w:t xml:space="preserve">nitiated in a file/batch’ </w:t>
            </w:r>
            <w:r>
              <w:rPr>
                <w:rFonts w:ascii="Times New Roman" w:hAnsi="Times New Roman"/>
                <w:sz w:val="24"/>
                <w:szCs w:val="24"/>
                <w:lang w:val="en-GB"/>
              </w:rPr>
              <w:t>and ‘I</w:t>
            </w:r>
            <w:r w:rsidR="007A730E" w:rsidRPr="003C42A7">
              <w:rPr>
                <w:rFonts w:ascii="Times New Roman" w:hAnsi="Times New Roman"/>
                <w:sz w:val="24"/>
                <w:szCs w:val="24"/>
                <w:lang w:val="en-GB"/>
              </w:rPr>
              <w:t xml:space="preserve">nitiated on a single payment </w:t>
            </w:r>
            <w:proofErr w:type="spellStart"/>
            <w:r w:rsidR="007A730E" w:rsidRPr="003C42A7">
              <w:rPr>
                <w:rFonts w:ascii="Times New Roman" w:hAnsi="Times New Roman"/>
                <w:sz w:val="24"/>
                <w:szCs w:val="24"/>
                <w:lang w:val="en-GB"/>
              </w:rPr>
              <w:t>basis’</w:t>
            </w:r>
            <w:proofErr w:type="spellEnd"/>
          </w:p>
        </w:tc>
        <w:tc>
          <w:tcPr>
            <w:tcW w:w="7151" w:type="dxa"/>
          </w:tcPr>
          <w:p w14:paraId="24150292" w14:textId="77777777" w:rsidR="007A730E" w:rsidRPr="00760F3B" w:rsidRDefault="007A730E" w:rsidP="00AB763B">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Direct debits </w:t>
            </w:r>
            <w:r w:rsidR="000E3F4B">
              <w:rPr>
                <w:rFonts w:ascii="Times New Roman" w:hAnsi="Times New Roman"/>
                <w:sz w:val="24"/>
                <w:szCs w:val="24"/>
                <w:lang w:val="en-GB"/>
              </w:rPr>
              <w:t>are the sum of those</w:t>
            </w:r>
            <w:r w:rsidR="00EA5677">
              <w:rPr>
                <w:rFonts w:ascii="Times New Roman" w:hAnsi="Times New Roman"/>
                <w:sz w:val="24"/>
                <w:szCs w:val="24"/>
                <w:lang w:val="en-GB"/>
              </w:rPr>
              <w:t xml:space="preserve"> ‘I</w:t>
            </w:r>
            <w:r w:rsidRPr="00760F3B">
              <w:rPr>
                <w:rFonts w:ascii="Times New Roman" w:hAnsi="Times New Roman"/>
                <w:sz w:val="24"/>
                <w:szCs w:val="24"/>
                <w:lang w:val="en-GB"/>
              </w:rPr>
              <w:t>nitiated in a file/ batch’</w:t>
            </w:r>
            <w:r>
              <w:rPr>
                <w:rStyle w:val="FootnoteReference"/>
                <w:rFonts w:ascii="Times New Roman" w:hAnsi="Times New Roman"/>
                <w:sz w:val="24"/>
                <w:szCs w:val="24"/>
                <w:lang w:val="en-GB"/>
              </w:rPr>
              <w:footnoteReference w:id="57"/>
            </w:r>
            <w:r w:rsidRPr="00760F3B">
              <w:rPr>
                <w:rFonts w:ascii="Times New Roman" w:hAnsi="Times New Roman"/>
                <w:sz w:val="24"/>
                <w:szCs w:val="24"/>
                <w:lang w:val="en-GB"/>
              </w:rPr>
              <w:t xml:space="preserve"> and</w:t>
            </w:r>
            <w:r w:rsidR="000E3F4B">
              <w:rPr>
                <w:rFonts w:ascii="Times New Roman" w:hAnsi="Times New Roman"/>
                <w:sz w:val="24"/>
                <w:szCs w:val="24"/>
                <w:lang w:val="en-GB"/>
              </w:rPr>
              <w:t xml:space="preserve"> those</w:t>
            </w:r>
            <w:r w:rsidR="00EA5677">
              <w:rPr>
                <w:rFonts w:ascii="Times New Roman" w:hAnsi="Times New Roman"/>
                <w:sz w:val="24"/>
                <w:szCs w:val="24"/>
                <w:lang w:val="en-GB"/>
              </w:rPr>
              <w:t xml:space="preserve"> ‘I</w:t>
            </w:r>
            <w:r w:rsidRPr="00760F3B">
              <w:rPr>
                <w:rFonts w:ascii="Times New Roman" w:hAnsi="Times New Roman"/>
                <w:sz w:val="24"/>
                <w:szCs w:val="24"/>
                <w:lang w:val="en-GB"/>
              </w:rPr>
              <w:t xml:space="preserve">nitiated on a single payment </w:t>
            </w:r>
            <w:proofErr w:type="spellStart"/>
            <w:r w:rsidRPr="00760F3B">
              <w:rPr>
                <w:rFonts w:ascii="Times New Roman" w:hAnsi="Times New Roman"/>
                <w:sz w:val="24"/>
                <w:szCs w:val="24"/>
                <w:lang w:val="en-GB"/>
              </w:rPr>
              <w:t>basis’</w:t>
            </w:r>
            <w:proofErr w:type="spellEnd"/>
            <w:r>
              <w:rPr>
                <w:rStyle w:val="FootnoteReference"/>
                <w:rFonts w:ascii="Times New Roman" w:hAnsi="Times New Roman"/>
                <w:sz w:val="24"/>
                <w:szCs w:val="24"/>
                <w:lang w:val="en-GB"/>
              </w:rPr>
              <w:footnoteReference w:id="58"/>
            </w:r>
            <w:r w:rsidRPr="00760F3B">
              <w:rPr>
                <w:rFonts w:ascii="Times New Roman" w:hAnsi="Times New Roman"/>
                <w:sz w:val="24"/>
                <w:szCs w:val="24"/>
                <w:lang w:val="en-GB"/>
              </w:rPr>
              <w:t xml:space="preserve">. </w:t>
            </w:r>
            <w:r>
              <w:rPr>
                <w:rFonts w:ascii="Times New Roman" w:hAnsi="Times New Roman"/>
                <w:sz w:val="24"/>
                <w:szCs w:val="24"/>
                <w:lang w:val="en-GB"/>
              </w:rPr>
              <w:t>T</w:t>
            </w:r>
            <w:r w:rsidRPr="00760F3B">
              <w:rPr>
                <w:rFonts w:ascii="Times New Roman" w:hAnsi="Times New Roman"/>
                <w:sz w:val="24"/>
                <w:szCs w:val="24"/>
                <w:lang w:val="en-GB"/>
              </w:rPr>
              <w:t>he</w:t>
            </w:r>
            <w:r>
              <w:rPr>
                <w:rFonts w:ascii="Times New Roman" w:hAnsi="Times New Roman"/>
                <w:sz w:val="24"/>
                <w:szCs w:val="24"/>
                <w:lang w:val="en-GB"/>
              </w:rPr>
              <w:t>se</w:t>
            </w:r>
            <w:r w:rsidRPr="00760F3B">
              <w:rPr>
                <w:rFonts w:ascii="Times New Roman" w:hAnsi="Times New Roman"/>
                <w:sz w:val="24"/>
                <w:szCs w:val="24"/>
                <w:lang w:val="en-GB"/>
              </w:rPr>
              <w:t xml:space="preserve"> subca</w:t>
            </w:r>
            <w:r w:rsidR="000E3F4B">
              <w:rPr>
                <w:rFonts w:ascii="Times New Roman" w:hAnsi="Times New Roman"/>
                <w:sz w:val="24"/>
                <w:szCs w:val="24"/>
                <w:lang w:val="en-GB"/>
              </w:rPr>
              <w:t>tegories are mutually exclusive.</w:t>
            </w:r>
          </w:p>
        </w:tc>
      </w:tr>
      <w:tr w:rsidR="00F72FB9" w:rsidRPr="00F53249" w14:paraId="19E11343" w14:textId="77777777" w:rsidTr="00F40693">
        <w:tc>
          <w:tcPr>
            <w:tcW w:w="2483" w:type="dxa"/>
          </w:tcPr>
          <w:p w14:paraId="72721824" w14:textId="77777777" w:rsidR="00F72FB9" w:rsidRDefault="007A730E" w:rsidP="003D1E63">
            <w:pPr>
              <w:spacing w:after="120" w:line="360" w:lineRule="auto"/>
              <w:rPr>
                <w:rFonts w:ascii="Times New Roman" w:hAnsi="Times New Roman"/>
                <w:sz w:val="24"/>
                <w:szCs w:val="24"/>
                <w:lang w:val="en-GB"/>
              </w:rPr>
            </w:pPr>
            <w:r>
              <w:rPr>
                <w:rFonts w:ascii="Times New Roman" w:hAnsi="Times New Roman"/>
                <w:sz w:val="24"/>
                <w:szCs w:val="24"/>
                <w:lang w:val="en-GB"/>
              </w:rPr>
              <w:t>‘</w:t>
            </w:r>
            <w:r w:rsidRPr="007A730E">
              <w:rPr>
                <w:rFonts w:ascii="Times New Roman" w:hAnsi="Times New Roman"/>
                <w:sz w:val="24"/>
                <w:szCs w:val="24"/>
                <w:lang w:val="en-GB"/>
              </w:rPr>
              <w:t>Consent given via an electronic mandate</w:t>
            </w:r>
            <w:r>
              <w:rPr>
                <w:rFonts w:ascii="Times New Roman" w:hAnsi="Times New Roman"/>
                <w:sz w:val="24"/>
                <w:szCs w:val="24"/>
                <w:lang w:val="en-GB"/>
              </w:rPr>
              <w:t xml:space="preserve">’ </w:t>
            </w:r>
            <w:r w:rsidR="00EA5677">
              <w:rPr>
                <w:rFonts w:ascii="Times New Roman" w:hAnsi="Times New Roman"/>
                <w:sz w:val="24"/>
                <w:szCs w:val="24"/>
                <w:lang w:val="en-GB"/>
              </w:rPr>
              <w:t>and ‘C</w:t>
            </w:r>
            <w:r>
              <w:rPr>
                <w:rFonts w:ascii="Times New Roman" w:hAnsi="Times New Roman"/>
                <w:sz w:val="24"/>
                <w:szCs w:val="24"/>
                <w:lang w:val="en-GB"/>
              </w:rPr>
              <w:t>onsent given in other forms’</w:t>
            </w:r>
          </w:p>
          <w:p w14:paraId="1E15199D" w14:textId="77777777" w:rsidR="007A730E" w:rsidRPr="00760F3B" w:rsidRDefault="007A730E" w:rsidP="003D1E63">
            <w:pPr>
              <w:spacing w:after="120" w:line="360" w:lineRule="auto"/>
              <w:rPr>
                <w:rFonts w:ascii="Times New Roman" w:hAnsi="Times New Roman"/>
                <w:sz w:val="24"/>
                <w:szCs w:val="24"/>
                <w:lang w:val="en-GB"/>
              </w:rPr>
            </w:pPr>
            <w:r>
              <w:rPr>
                <w:rFonts w:ascii="Times New Roman" w:hAnsi="Times New Roman"/>
                <w:sz w:val="24"/>
                <w:szCs w:val="24"/>
                <w:lang w:val="en-GB"/>
              </w:rPr>
              <w:t>/</w:t>
            </w:r>
            <w:r w:rsidRPr="00760F3B">
              <w:rPr>
                <w:rFonts w:ascii="Times New Roman" w:hAnsi="Times New Roman"/>
                <w:sz w:val="24"/>
                <w:szCs w:val="24"/>
                <w:lang w:val="en-GB"/>
              </w:rPr>
              <w:t>Proce</w:t>
            </w:r>
            <w:r>
              <w:rPr>
                <w:rFonts w:ascii="Times New Roman" w:hAnsi="Times New Roman"/>
                <w:sz w:val="24"/>
                <w:szCs w:val="24"/>
                <w:lang w:val="en-GB"/>
              </w:rPr>
              <w:t xml:space="preserve">ssed by </w:t>
            </w:r>
            <w:proofErr w:type="gramStart"/>
            <w:r>
              <w:rPr>
                <w:rFonts w:ascii="Times New Roman" w:hAnsi="Times New Roman"/>
                <w:sz w:val="24"/>
                <w:szCs w:val="24"/>
                <w:lang w:val="en-GB"/>
              </w:rPr>
              <w:t>direct  debit</w:t>
            </w:r>
            <w:proofErr w:type="gramEnd"/>
            <w:r>
              <w:rPr>
                <w:rFonts w:ascii="Times New Roman" w:hAnsi="Times New Roman"/>
                <w:sz w:val="24"/>
                <w:szCs w:val="24"/>
                <w:lang w:val="en-GB"/>
              </w:rPr>
              <w:t xml:space="preserve"> schemes</w:t>
            </w:r>
          </w:p>
        </w:tc>
        <w:tc>
          <w:tcPr>
            <w:tcW w:w="7151" w:type="dxa"/>
          </w:tcPr>
          <w:p w14:paraId="2A844B51" w14:textId="77777777" w:rsidR="00AB763B" w:rsidRPr="00AB763B" w:rsidRDefault="00AB763B" w:rsidP="007A730E">
            <w:pPr>
              <w:spacing w:after="120" w:line="360" w:lineRule="auto"/>
              <w:jc w:val="both"/>
              <w:rPr>
                <w:rFonts w:ascii="Times New Roman" w:hAnsi="Times New Roman"/>
                <w:sz w:val="24"/>
                <w:szCs w:val="24"/>
                <w:u w:val="single"/>
                <w:lang w:val="en-GB"/>
              </w:rPr>
            </w:pPr>
            <w:r w:rsidRPr="00AB763B">
              <w:rPr>
                <w:rFonts w:ascii="Times New Roman" w:hAnsi="Times New Roman"/>
                <w:sz w:val="24"/>
                <w:szCs w:val="24"/>
                <w:u w:val="single"/>
                <w:lang w:val="en-GB"/>
              </w:rPr>
              <w:t>Consent Channel</w:t>
            </w:r>
          </w:p>
          <w:p w14:paraId="304A2D81" w14:textId="77777777" w:rsidR="007A730E" w:rsidRPr="00AB763B" w:rsidRDefault="007A730E" w:rsidP="007A730E">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Direct debit transa</w:t>
            </w:r>
            <w:r w:rsidR="00EA5677">
              <w:rPr>
                <w:rFonts w:ascii="Times New Roman" w:hAnsi="Times New Roman"/>
                <w:sz w:val="24"/>
                <w:szCs w:val="24"/>
                <w:lang w:val="en-GB"/>
              </w:rPr>
              <w:t>ctions are further split into ‘C</w:t>
            </w:r>
            <w:r w:rsidRPr="00760F3B">
              <w:rPr>
                <w:rFonts w:ascii="Times New Roman" w:hAnsi="Times New Roman"/>
                <w:sz w:val="24"/>
                <w:szCs w:val="24"/>
                <w:lang w:val="en-GB"/>
              </w:rPr>
              <w:t>onsent given via an electronic mandate’</w:t>
            </w:r>
            <w:r>
              <w:rPr>
                <w:rStyle w:val="FootnoteReference"/>
                <w:rFonts w:ascii="Times New Roman" w:hAnsi="Times New Roman"/>
                <w:sz w:val="24"/>
                <w:szCs w:val="24"/>
                <w:lang w:val="en-GB"/>
              </w:rPr>
              <w:footnoteReference w:id="59"/>
            </w:r>
            <w:r w:rsidR="00EA5677">
              <w:rPr>
                <w:rFonts w:ascii="Times New Roman" w:hAnsi="Times New Roman"/>
                <w:sz w:val="24"/>
                <w:szCs w:val="24"/>
                <w:lang w:val="en-GB"/>
              </w:rPr>
              <w:t xml:space="preserve"> and ‘C</w:t>
            </w:r>
            <w:r w:rsidRPr="00760F3B">
              <w:rPr>
                <w:rFonts w:ascii="Times New Roman" w:hAnsi="Times New Roman"/>
                <w:sz w:val="24"/>
                <w:szCs w:val="24"/>
                <w:lang w:val="en-GB"/>
              </w:rPr>
              <w:t>onsent given in other forms’</w:t>
            </w:r>
            <w:r>
              <w:rPr>
                <w:rStyle w:val="FootnoteReference"/>
                <w:rFonts w:ascii="Times New Roman" w:hAnsi="Times New Roman"/>
                <w:sz w:val="24"/>
                <w:szCs w:val="24"/>
                <w:lang w:val="en-GB"/>
              </w:rPr>
              <w:footnoteReference w:id="60"/>
            </w:r>
            <w:r w:rsidRPr="00760F3B">
              <w:rPr>
                <w:rFonts w:ascii="Times New Roman" w:hAnsi="Times New Roman"/>
                <w:sz w:val="24"/>
                <w:szCs w:val="24"/>
                <w:lang w:val="en-GB"/>
              </w:rPr>
              <w:t>. The</w:t>
            </w:r>
            <w:r w:rsidR="00FC4702">
              <w:rPr>
                <w:rFonts w:ascii="Times New Roman" w:hAnsi="Times New Roman"/>
                <w:sz w:val="24"/>
                <w:szCs w:val="24"/>
                <w:lang w:val="en-GB"/>
              </w:rPr>
              <w:t>se</w:t>
            </w:r>
            <w:r w:rsidRPr="00760F3B">
              <w:rPr>
                <w:rFonts w:ascii="Times New Roman" w:hAnsi="Times New Roman"/>
                <w:sz w:val="24"/>
                <w:szCs w:val="24"/>
                <w:lang w:val="en-GB"/>
              </w:rPr>
              <w:t xml:space="preserve"> sub-categories are mutually exclusive. </w:t>
            </w:r>
          </w:p>
          <w:p w14:paraId="28C087DB" w14:textId="77777777" w:rsidR="007A730E" w:rsidRPr="0042655C" w:rsidRDefault="00181AD0" w:rsidP="007A730E">
            <w:pPr>
              <w:spacing w:after="120" w:line="360" w:lineRule="auto"/>
              <w:jc w:val="both"/>
              <w:rPr>
                <w:rFonts w:ascii="Times New Roman" w:hAnsi="Times New Roman"/>
                <w:sz w:val="24"/>
                <w:szCs w:val="24"/>
                <w:u w:val="single"/>
                <w:lang w:val="en-GB"/>
              </w:rPr>
            </w:pPr>
            <w:r>
              <w:rPr>
                <w:rFonts w:ascii="Times New Roman" w:hAnsi="Times New Roman"/>
                <w:sz w:val="24"/>
                <w:szCs w:val="24"/>
                <w:u w:val="single"/>
                <w:lang w:val="en-GB"/>
              </w:rPr>
              <w:t>Processed by d</w:t>
            </w:r>
            <w:r w:rsidR="007A730E" w:rsidRPr="0042655C">
              <w:rPr>
                <w:rFonts w:ascii="Times New Roman" w:hAnsi="Times New Roman"/>
                <w:sz w:val="24"/>
                <w:szCs w:val="24"/>
                <w:u w:val="single"/>
                <w:lang w:val="en-GB"/>
              </w:rPr>
              <w:t>irect debit schemes</w:t>
            </w:r>
          </w:p>
          <w:p w14:paraId="7D2895CD" w14:textId="16203285" w:rsidR="00EB2039" w:rsidRDefault="007A730E" w:rsidP="00C26CDC">
            <w:pPr>
              <w:spacing w:after="120" w:line="360" w:lineRule="auto"/>
              <w:jc w:val="both"/>
              <w:rPr>
                <w:rFonts w:ascii="Times New Roman" w:hAnsi="Times New Roman"/>
                <w:sz w:val="24"/>
                <w:szCs w:val="24"/>
                <w:lang w:val="en-GB"/>
              </w:rPr>
            </w:pPr>
            <w:r w:rsidRPr="00214C27">
              <w:rPr>
                <w:rFonts w:ascii="Times New Roman" w:hAnsi="Times New Roman"/>
                <w:sz w:val="24"/>
                <w:szCs w:val="24"/>
                <w:lang w:val="en-GB"/>
              </w:rPr>
              <w:t>Within each channel used to give consent, transactions are reported for each scheme</w:t>
            </w:r>
            <w:r w:rsidR="00181AD0">
              <w:rPr>
                <w:rFonts w:ascii="Times New Roman" w:hAnsi="Times New Roman"/>
                <w:sz w:val="24"/>
                <w:szCs w:val="24"/>
                <w:lang w:val="en-GB"/>
              </w:rPr>
              <w:t>.</w:t>
            </w:r>
            <w:r w:rsidR="008A21DB">
              <w:rPr>
                <w:rFonts w:ascii="Times New Roman" w:hAnsi="Times New Roman"/>
                <w:sz w:val="24"/>
                <w:szCs w:val="24"/>
                <w:lang w:val="en-GB"/>
              </w:rPr>
              <w:t xml:space="preserve"> </w:t>
            </w:r>
            <w:r w:rsidRPr="00760F3B">
              <w:rPr>
                <w:rFonts w:ascii="Times New Roman" w:hAnsi="Times New Roman"/>
                <w:sz w:val="24"/>
                <w:szCs w:val="24"/>
                <w:lang w:val="en-GB"/>
              </w:rPr>
              <w:t>The reporting in payment schemes is divided between SEPA and non-SEPA</w:t>
            </w:r>
            <w:r w:rsidR="001C38E8" w:rsidRPr="008022AF">
              <w:rPr>
                <w:rStyle w:val="FootnoteReference"/>
                <w:rFonts w:ascii="Times New Roman" w:hAnsi="Times New Roman"/>
                <w:sz w:val="24"/>
                <w:szCs w:val="24"/>
                <w:lang w:val="en-GB"/>
              </w:rPr>
              <w:fldChar w:fldCharType="begin"/>
            </w:r>
            <w:r w:rsidR="001C38E8" w:rsidRPr="000C3CEF">
              <w:rPr>
                <w:rStyle w:val="FootnoteReference"/>
                <w:rFonts w:ascii="Times New Roman" w:hAnsi="Times New Roman"/>
                <w:sz w:val="24"/>
                <w:szCs w:val="24"/>
                <w:lang w:val="en-GB"/>
              </w:rPr>
              <w:instrText xml:space="preserve"> NOTEREF _Ref80858815 \h </w:instrText>
            </w:r>
            <w:r w:rsidR="001C38E8" w:rsidRPr="008022AF">
              <w:rPr>
                <w:rStyle w:val="FootnoteReference"/>
                <w:rFonts w:ascii="Times New Roman" w:hAnsi="Times New Roman"/>
                <w:sz w:val="24"/>
                <w:szCs w:val="24"/>
                <w:lang w:val="en-GB"/>
              </w:rPr>
              <w:instrText xml:space="preserve"> \* MERGEFORMAT </w:instrText>
            </w:r>
            <w:r w:rsidR="001C38E8" w:rsidRPr="008022AF">
              <w:rPr>
                <w:rStyle w:val="FootnoteReference"/>
                <w:rFonts w:ascii="Times New Roman" w:hAnsi="Times New Roman"/>
                <w:sz w:val="24"/>
                <w:szCs w:val="24"/>
                <w:lang w:val="en-GB"/>
              </w:rPr>
            </w:r>
            <w:r w:rsidR="001C38E8" w:rsidRPr="008022AF">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53</w:t>
            </w:r>
            <w:r w:rsidR="001C38E8" w:rsidRPr="008022AF">
              <w:rPr>
                <w:rStyle w:val="FootnoteReference"/>
                <w:rFonts w:ascii="Times New Roman" w:hAnsi="Times New Roman"/>
                <w:sz w:val="24"/>
                <w:szCs w:val="24"/>
                <w:lang w:val="en-GB"/>
              </w:rPr>
              <w:fldChar w:fldCharType="end"/>
            </w:r>
            <w:r w:rsidRPr="00760F3B">
              <w:rPr>
                <w:rFonts w:ascii="Times New Roman" w:hAnsi="Times New Roman"/>
                <w:sz w:val="24"/>
                <w:szCs w:val="24"/>
                <w:lang w:val="en-GB"/>
              </w:rPr>
              <w:t xml:space="preserve"> schemes</w:t>
            </w:r>
            <w:r w:rsidR="00181AD0">
              <w:rPr>
                <w:rFonts w:ascii="Times New Roman" w:hAnsi="Times New Roman"/>
                <w:sz w:val="24"/>
                <w:szCs w:val="24"/>
                <w:lang w:val="en-GB"/>
              </w:rPr>
              <w:t>.</w:t>
            </w:r>
            <w:r w:rsidRPr="00760F3B">
              <w:rPr>
                <w:rFonts w:ascii="Times New Roman" w:hAnsi="Times New Roman"/>
                <w:sz w:val="24"/>
                <w:szCs w:val="24"/>
                <w:lang w:val="en-GB"/>
              </w:rPr>
              <w:t xml:space="preserve"> </w:t>
            </w:r>
            <w:r w:rsidR="00181AD0">
              <w:rPr>
                <w:rFonts w:ascii="Times New Roman" w:hAnsi="Times New Roman"/>
                <w:sz w:val="24"/>
                <w:szCs w:val="24"/>
                <w:lang w:val="en-GB"/>
              </w:rPr>
              <w:t xml:space="preserve">SEPA </w:t>
            </w:r>
            <w:r w:rsidR="00181AD0" w:rsidRPr="00760F3B">
              <w:rPr>
                <w:rFonts w:ascii="Times New Roman" w:hAnsi="Times New Roman"/>
                <w:sz w:val="24"/>
                <w:szCs w:val="24"/>
                <w:lang w:val="en-GB"/>
              </w:rPr>
              <w:t xml:space="preserve">direct debits </w:t>
            </w:r>
            <w:r w:rsidR="00181AD0">
              <w:rPr>
                <w:rFonts w:ascii="Times New Roman" w:hAnsi="Times New Roman"/>
                <w:sz w:val="24"/>
                <w:szCs w:val="24"/>
                <w:lang w:val="en-GB"/>
              </w:rPr>
              <w:t>i</w:t>
            </w:r>
            <w:r w:rsidRPr="00760F3B">
              <w:rPr>
                <w:rFonts w:ascii="Times New Roman" w:hAnsi="Times New Roman"/>
                <w:sz w:val="24"/>
                <w:szCs w:val="24"/>
                <w:lang w:val="en-GB"/>
              </w:rPr>
              <w:t xml:space="preserve">nternational schemes </w:t>
            </w:r>
            <w:r w:rsidR="00181AD0">
              <w:rPr>
                <w:rFonts w:ascii="Times New Roman" w:hAnsi="Times New Roman"/>
                <w:sz w:val="24"/>
                <w:szCs w:val="24"/>
                <w:lang w:val="en-GB"/>
              </w:rPr>
              <w:t>are</w:t>
            </w:r>
            <w:r w:rsidRPr="00760F3B">
              <w:rPr>
                <w:rFonts w:ascii="Times New Roman" w:hAnsi="Times New Roman"/>
                <w:sz w:val="24"/>
                <w:szCs w:val="24"/>
                <w:lang w:val="en-GB"/>
              </w:rPr>
              <w:t xml:space="preserve"> SEPA </w:t>
            </w:r>
            <w:r w:rsidR="00181AD0">
              <w:rPr>
                <w:rFonts w:ascii="Times New Roman" w:hAnsi="Times New Roman"/>
                <w:sz w:val="24"/>
                <w:szCs w:val="24"/>
                <w:lang w:val="en-GB"/>
              </w:rPr>
              <w:t xml:space="preserve">Direct Debit Core scheme and </w:t>
            </w:r>
            <w:r w:rsidRPr="00760F3B">
              <w:rPr>
                <w:rFonts w:ascii="Times New Roman" w:hAnsi="Times New Roman"/>
                <w:sz w:val="24"/>
                <w:szCs w:val="24"/>
                <w:lang w:val="en-GB"/>
              </w:rPr>
              <w:t>SEPA Direct Debit B2B scheme.</w:t>
            </w:r>
            <w:r w:rsidR="00181AD0">
              <w:rPr>
                <w:rFonts w:ascii="Times New Roman" w:hAnsi="Times New Roman"/>
                <w:sz w:val="24"/>
                <w:szCs w:val="24"/>
                <w:lang w:val="en-GB"/>
              </w:rPr>
              <w:t xml:space="preserve"> Non-SEPA schemes are furthe</w:t>
            </w:r>
            <w:r w:rsidR="00911DEB">
              <w:rPr>
                <w:rFonts w:ascii="Times New Roman" w:hAnsi="Times New Roman"/>
                <w:sz w:val="24"/>
                <w:szCs w:val="24"/>
                <w:lang w:val="en-GB"/>
              </w:rPr>
              <w:t>r broken down into ‘not applicable</w:t>
            </w:r>
            <w:r w:rsidR="00181AD0">
              <w:rPr>
                <w:rFonts w:ascii="Times New Roman" w:hAnsi="Times New Roman"/>
                <w:sz w:val="24"/>
                <w:szCs w:val="24"/>
                <w:lang w:val="en-GB"/>
              </w:rPr>
              <w:t xml:space="preserve">’ and ‘on-us </w:t>
            </w:r>
            <w:proofErr w:type="gramStart"/>
            <w:r w:rsidR="00181AD0">
              <w:rPr>
                <w:rFonts w:ascii="Times New Roman" w:hAnsi="Times New Roman"/>
                <w:sz w:val="24"/>
                <w:szCs w:val="24"/>
                <w:lang w:val="en-GB"/>
              </w:rPr>
              <w:t>transactions’</w:t>
            </w:r>
            <w:proofErr w:type="gramEnd"/>
            <w:r w:rsidR="00181AD0">
              <w:rPr>
                <w:rFonts w:ascii="Times New Roman" w:hAnsi="Times New Roman"/>
                <w:sz w:val="24"/>
                <w:szCs w:val="24"/>
                <w:lang w:val="en-GB"/>
              </w:rPr>
              <w:t>.</w:t>
            </w:r>
            <w:r w:rsidR="00181AD0" w:rsidRPr="00760F3B">
              <w:rPr>
                <w:rFonts w:ascii="Times New Roman" w:hAnsi="Times New Roman"/>
                <w:sz w:val="24"/>
                <w:szCs w:val="24"/>
                <w:lang w:val="en-GB"/>
              </w:rPr>
              <w:t xml:space="preserve"> In cases where the scheme used to process the transaction is not known, which could happen, for example, when payments are sent via a correspondent bank, the scheme dimension should be reported as “not</w:t>
            </w:r>
            <w:r w:rsidR="00181AD0">
              <w:rPr>
                <w:rFonts w:ascii="Times New Roman" w:hAnsi="Times New Roman"/>
                <w:sz w:val="24"/>
                <w:szCs w:val="24"/>
                <w:lang w:val="en-GB"/>
              </w:rPr>
              <w:t xml:space="preserve"> </w:t>
            </w:r>
            <w:r w:rsidR="00181AD0" w:rsidRPr="00760F3B">
              <w:rPr>
                <w:rFonts w:ascii="Times New Roman" w:hAnsi="Times New Roman"/>
                <w:sz w:val="24"/>
                <w:szCs w:val="24"/>
                <w:lang w:val="en-GB"/>
              </w:rPr>
              <w:t>applicable”.</w:t>
            </w:r>
            <w:r w:rsidR="00C26CDC" w:rsidRPr="00C26CDC">
              <w:rPr>
                <w:rFonts w:ascii="Times New Roman" w:hAnsi="Times New Roman"/>
                <w:sz w:val="24"/>
                <w:szCs w:val="24"/>
                <w:lang w:val="en-GB"/>
              </w:rPr>
              <w:t xml:space="preserve"> </w:t>
            </w:r>
            <w:r w:rsidR="00181AD0" w:rsidRPr="00760F3B">
              <w:rPr>
                <w:rFonts w:ascii="Times New Roman" w:hAnsi="Times New Roman"/>
                <w:sz w:val="24"/>
                <w:szCs w:val="24"/>
                <w:lang w:val="en-GB"/>
              </w:rPr>
              <w:t xml:space="preserve">For on-us transactions, the dimension scheme should be recorded as “on-us” if a CSM is not involved in the processing of the transaction. This is true irrespective of the standard applied to the processing of those transactions. For other transactions not processed via any scheme, the scheme dimension should be reported as “not applicable”, regardless of the standard applied. </w:t>
            </w:r>
          </w:p>
          <w:p w14:paraId="5A2A44B2" w14:textId="71A19E31" w:rsidR="00810FBF" w:rsidRDefault="00C26CDC" w:rsidP="00810FBF">
            <w:pPr>
              <w:spacing w:after="120" w:line="360" w:lineRule="auto"/>
              <w:jc w:val="both"/>
              <w:rPr>
                <w:rFonts w:ascii="Times New Roman" w:hAnsi="Times New Roman"/>
                <w:sz w:val="24"/>
                <w:szCs w:val="24"/>
                <w:lang w:val="en-GB"/>
              </w:rPr>
            </w:pPr>
            <w:r w:rsidRPr="00F759CD">
              <w:rPr>
                <w:rFonts w:ascii="Times New Roman" w:hAnsi="Times New Roman"/>
                <w:sz w:val="24"/>
                <w:szCs w:val="24"/>
                <w:lang w:val="en-GB"/>
              </w:rPr>
              <w:t xml:space="preserve">TARGET2 transactions </w:t>
            </w:r>
            <w:proofErr w:type="gramStart"/>
            <w:r w:rsidRPr="00F759CD">
              <w:rPr>
                <w:rFonts w:ascii="Times New Roman" w:hAnsi="Times New Roman"/>
                <w:sz w:val="24"/>
                <w:szCs w:val="24"/>
                <w:lang w:val="en-GB"/>
              </w:rPr>
              <w:t>are considered to be</w:t>
            </w:r>
            <w:proofErr w:type="gramEnd"/>
            <w:r w:rsidRPr="00F759CD">
              <w:rPr>
                <w:rFonts w:ascii="Times New Roman" w:hAnsi="Times New Roman"/>
                <w:sz w:val="24"/>
                <w:szCs w:val="24"/>
                <w:lang w:val="en-GB"/>
              </w:rPr>
              <w:t xml:space="preserve"> transactions involving MFIs at both ends of the transact</w:t>
            </w:r>
            <w:r>
              <w:rPr>
                <w:rFonts w:ascii="Times New Roman" w:hAnsi="Times New Roman"/>
                <w:sz w:val="24"/>
                <w:szCs w:val="24"/>
                <w:lang w:val="en-GB"/>
              </w:rPr>
              <w:t>ion and are only included in this table</w:t>
            </w:r>
            <w:r w:rsidRPr="00F759CD">
              <w:rPr>
                <w:rFonts w:ascii="Times New Roman" w:hAnsi="Times New Roman"/>
                <w:sz w:val="24"/>
                <w:szCs w:val="24"/>
                <w:lang w:val="en-GB"/>
              </w:rPr>
              <w:t xml:space="preserve"> if retail payment transactions are sent or received through the TARGET2 system. </w:t>
            </w:r>
            <w:r w:rsidRPr="00F759CD">
              <w:rPr>
                <w:rFonts w:ascii="Times New Roman" w:hAnsi="Times New Roman"/>
                <w:sz w:val="24"/>
                <w:szCs w:val="24"/>
                <w:lang w:val="en-GB"/>
              </w:rPr>
              <w:lastRenderedPageBreak/>
              <w:t>If the SEPA rules apply, these retail payment transactions are reported as SEPA scheme transactions</w:t>
            </w:r>
            <w:r>
              <w:rPr>
                <w:rFonts w:ascii="Times New Roman" w:hAnsi="Times New Roman"/>
                <w:sz w:val="24"/>
                <w:szCs w:val="24"/>
                <w:lang w:val="en-GB"/>
              </w:rPr>
              <w:t xml:space="preserve">, otherwise </w:t>
            </w:r>
            <w:r w:rsidRPr="00F759CD">
              <w:rPr>
                <w:rFonts w:ascii="Times New Roman" w:hAnsi="Times New Roman"/>
                <w:sz w:val="24"/>
                <w:szCs w:val="24"/>
                <w:lang w:val="en-GB"/>
              </w:rPr>
              <w:t>the scheme breakdown is reported as “not applicable”</w:t>
            </w:r>
            <w:r>
              <w:rPr>
                <w:rFonts w:ascii="Times New Roman" w:hAnsi="Times New Roman"/>
                <w:sz w:val="24"/>
                <w:szCs w:val="24"/>
                <w:lang w:val="en-GB"/>
              </w:rPr>
              <w:t>.</w:t>
            </w:r>
            <w:r w:rsidR="00810FBF">
              <w:rPr>
                <w:rFonts w:ascii="Times New Roman" w:hAnsi="Times New Roman"/>
                <w:sz w:val="24"/>
                <w:szCs w:val="24"/>
                <w:lang w:val="en-GB"/>
              </w:rPr>
              <w:t xml:space="preserve"> </w:t>
            </w:r>
            <w:r w:rsidR="00810FBF" w:rsidRPr="00810FBF">
              <w:rPr>
                <w:rFonts w:ascii="Times New Roman" w:hAnsi="Times New Roman"/>
                <w:sz w:val="24"/>
                <w:szCs w:val="24"/>
                <w:lang w:val="en-GB"/>
              </w:rPr>
              <w:t>Regarding the reporting of SWIFT transactions, these are not reported as separate scheme since SWIFT as such is not a scheme and SWIFT is also used in some SEPA or TARGET2 transactions. If SWIFT is used for transactions processed via a scheme, the transaction is reported according to the scheme. Otherwise, such transactions are reported with the scheme breakdown “not applicable”.</w:t>
            </w:r>
          </w:p>
          <w:p w14:paraId="603EA619" w14:textId="707E3976" w:rsidR="00D50E5F" w:rsidRDefault="00D50E5F" w:rsidP="00810FBF">
            <w:pPr>
              <w:spacing w:after="120" w:line="360" w:lineRule="auto"/>
              <w:jc w:val="both"/>
              <w:rPr>
                <w:rFonts w:ascii="Times New Roman" w:hAnsi="Times New Roman"/>
                <w:sz w:val="24"/>
                <w:szCs w:val="24"/>
                <w:lang w:val="en-GB"/>
              </w:rPr>
            </w:pPr>
            <w:r>
              <w:rPr>
                <w:rFonts w:ascii="Times New Roman" w:hAnsi="Times New Roman"/>
                <w:sz w:val="24"/>
                <w:szCs w:val="24"/>
                <w:lang w:val="en-GB"/>
              </w:rPr>
              <w:t>‘N</w:t>
            </w:r>
            <w:r w:rsidRPr="00D50E5F">
              <w:rPr>
                <w:rFonts w:ascii="Times New Roman" w:hAnsi="Times New Roman"/>
                <w:sz w:val="24"/>
                <w:szCs w:val="24"/>
                <w:lang w:val="en-GB"/>
              </w:rPr>
              <w:t>on-SEPA scheme_1</w:t>
            </w:r>
            <w:r>
              <w:rPr>
                <w:rFonts w:ascii="Times New Roman" w:hAnsi="Times New Roman"/>
                <w:sz w:val="24"/>
                <w:szCs w:val="24"/>
                <w:lang w:val="en-GB"/>
              </w:rPr>
              <w:t>’ and ‘</w:t>
            </w:r>
            <w:proofErr w:type="gramStart"/>
            <w:r>
              <w:rPr>
                <w:rFonts w:ascii="Times New Roman" w:hAnsi="Times New Roman"/>
                <w:sz w:val="24"/>
                <w:szCs w:val="24"/>
                <w:lang w:val="en-GB"/>
              </w:rPr>
              <w:t>N</w:t>
            </w:r>
            <w:r w:rsidRPr="00D50E5F">
              <w:rPr>
                <w:rFonts w:ascii="Times New Roman" w:hAnsi="Times New Roman"/>
                <w:sz w:val="24"/>
                <w:szCs w:val="24"/>
                <w:lang w:val="en-GB"/>
              </w:rPr>
              <w:t>on-SEPA</w:t>
            </w:r>
            <w:proofErr w:type="gramEnd"/>
            <w:r w:rsidRPr="00D50E5F">
              <w:rPr>
                <w:rFonts w:ascii="Times New Roman" w:hAnsi="Times New Roman"/>
                <w:sz w:val="24"/>
                <w:szCs w:val="24"/>
                <w:lang w:val="en-GB"/>
              </w:rPr>
              <w:t xml:space="preserve"> scheme_</w:t>
            </w:r>
            <w:r>
              <w:rPr>
                <w:rFonts w:ascii="Times New Roman" w:hAnsi="Times New Roman"/>
                <w:sz w:val="24"/>
                <w:szCs w:val="24"/>
                <w:lang w:val="en-GB"/>
              </w:rPr>
              <w:t xml:space="preserve">2’ correspond to national </w:t>
            </w:r>
            <w:r w:rsidR="00002D44">
              <w:rPr>
                <w:rFonts w:ascii="Times New Roman" w:hAnsi="Times New Roman"/>
                <w:sz w:val="24"/>
                <w:szCs w:val="24"/>
                <w:lang w:val="en-GB"/>
              </w:rPr>
              <w:t>direct debit payment</w:t>
            </w:r>
            <w:r>
              <w:rPr>
                <w:rFonts w:ascii="Times New Roman" w:hAnsi="Times New Roman"/>
                <w:sz w:val="24"/>
                <w:szCs w:val="24"/>
                <w:lang w:val="en-GB"/>
              </w:rPr>
              <w:t xml:space="preserve"> schemes</w:t>
            </w:r>
            <w:r>
              <w:rPr>
                <w:rStyle w:val="FootnoteReference"/>
                <w:rFonts w:ascii="Times New Roman" w:hAnsi="Times New Roman"/>
                <w:sz w:val="24"/>
                <w:szCs w:val="24"/>
                <w:lang w:val="en-GB"/>
              </w:rPr>
              <w:footnoteReference w:id="61"/>
            </w:r>
            <w:r>
              <w:rPr>
                <w:rFonts w:ascii="Times New Roman" w:hAnsi="Times New Roman"/>
                <w:sz w:val="24"/>
                <w:szCs w:val="24"/>
                <w:lang w:val="en-GB"/>
              </w:rPr>
              <w:t>.</w:t>
            </w:r>
          </w:p>
          <w:p w14:paraId="5BE92298" w14:textId="433EF856" w:rsidR="00F72FB9" w:rsidRPr="00760F3B" w:rsidRDefault="00181AD0" w:rsidP="00C26CDC">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For transactions initiated by a PISP, the same approach should be followed as for transactions initiated by a PSU</w:t>
            </w:r>
            <w:r w:rsidR="005E06A3" w:rsidRPr="005E06A3">
              <w:rPr>
                <w:rStyle w:val="FootnoteReference"/>
              </w:rPr>
              <w:fldChar w:fldCharType="begin"/>
            </w:r>
            <w:r w:rsidR="005E06A3" w:rsidRPr="005E06A3">
              <w:rPr>
                <w:rStyle w:val="FootnoteReference"/>
                <w:lang w:val="en-GB"/>
              </w:rPr>
              <w:instrText xml:space="preserve"> NOTEREF _Ref95804109 \h  \* MERGEFORMAT </w:instrText>
            </w:r>
            <w:r w:rsidR="005E06A3" w:rsidRPr="005E06A3">
              <w:rPr>
                <w:rStyle w:val="FootnoteReference"/>
              </w:rPr>
            </w:r>
            <w:r w:rsidR="005E06A3" w:rsidRPr="005E06A3">
              <w:rPr>
                <w:rStyle w:val="FootnoteReference"/>
              </w:rPr>
              <w:fldChar w:fldCharType="separate"/>
            </w:r>
            <w:r w:rsidR="00F53249">
              <w:rPr>
                <w:rStyle w:val="FootnoteReference"/>
                <w:lang w:val="en-GB"/>
              </w:rPr>
              <w:t>13</w:t>
            </w:r>
            <w:r w:rsidR="005E06A3" w:rsidRPr="005E06A3">
              <w:rPr>
                <w:rStyle w:val="FootnoteReference"/>
              </w:rPr>
              <w:fldChar w:fldCharType="end"/>
            </w:r>
            <w:r w:rsidRPr="00760F3B">
              <w:rPr>
                <w:rFonts w:ascii="Times New Roman" w:hAnsi="Times New Roman"/>
                <w:sz w:val="24"/>
                <w:szCs w:val="24"/>
                <w:lang w:val="en-GB"/>
              </w:rPr>
              <w:t>.</w:t>
            </w:r>
          </w:p>
        </w:tc>
      </w:tr>
      <w:tr w:rsidR="00591697" w:rsidRPr="00F53249" w14:paraId="7EDC5955" w14:textId="77777777" w:rsidTr="00F40693">
        <w:tc>
          <w:tcPr>
            <w:tcW w:w="9634" w:type="dxa"/>
            <w:gridSpan w:val="2"/>
            <w:shd w:val="clear" w:color="auto" w:fill="003199"/>
          </w:tcPr>
          <w:p w14:paraId="6AACB659" w14:textId="47DF7700" w:rsidR="00591697" w:rsidRPr="00760F3B" w:rsidRDefault="00CC4F19" w:rsidP="000F1F24">
            <w:pPr>
              <w:spacing w:after="120" w:line="360" w:lineRule="auto"/>
              <w:jc w:val="both"/>
              <w:rPr>
                <w:rFonts w:ascii="Times New Roman" w:hAnsi="Times New Roman"/>
                <w:b/>
                <w:bCs/>
                <w:sz w:val="24"/>
                <w:szCs w:val="24"/>
                <w:lang w:val="en-GB"/>
              </w:rPr>
            </w:pPr>
            <w:r>
              <w:rPr>
                <w:rFonts w:ascii="Times New Roman" w:hAnsi="Times New Roman"/>
                <w:b/>
                <w:bCs/>
                <w:sz w:val="24"/>
                <w:szCs w:val="24"/>
                <w:lang w:val="en-GB"/>
              </w:rPr>
              <w:lastRenderedPageBreak/>
              <w:t>Direct Debits R</w:t>
            </w:r>
            <w:r w:rsidR="00591697" w:rsidRPr="00760F3B">
              <w:rPr>
                <w:rFonts w:ascii="Times New Roman" w:hAnsi="Times New Roman"/>
                <w:b/>
                <w:bCs/>
                <w:sz w:val="24"/>
                <w:szCs w:val="24"/>
                <w:lang w:val="en-GB"/>
              </w:rPr>
              <w:t>eceived</w:t>
            </w:r>
            <w:r w:rsidR="000F1F24">
              <w:rPr>
                <w:rFonts w:ascii="Times New Roman" w:hAnsi="Times New Roman"/>
                <w:b/>
                <w:bCs/>
                <w:sz w:val="24"/>
                <w:szCs w:val="24"/>
                <w:lang w:val="en-GB"/>
              </w:rPr>
              <w:t xml:space="preserve"> </w:t>
            </w:r>
            <w:r w:rsidR="000F1F24" w:rsidRPr="000F1F24">
              <w:rPr>
                <w:rFonts w:ascii="Times New Roman" w:hAnsi="Times New Roman"/>
                <w:i/>
                <w:lang w:val="en-GB"/>
              </w:rPr>
              <w:t>(</w:t>
            </w:r>
            <w:r w:rsidR="000F1F24" w:rsidRPr="000F1F24">
              <w:rPr>
                <w:rFonts w:ascii="Times New Roman" w:hAnsi="Times New Roman"/>
                <w:i/>
                <w:sz w:val="24"/>
                <w:szCs w:val="24"/>
                <w:lang w:val="en-GB"/>
              </w:rPr>
              <w:t xml:space="preserve">refers to worksheet </w:t>
            </w:r>
            <w:r w:rsidR="000F1F24">
              <w:rPr>
                <w:rFonts w:ascii="Times New Roman" w:hAnsi="Times New Roman"/>
                <w:i/>
                <w:sz w:val="24"/>
                <w:szCs w:val="24"/>
                <w:lang w:val="en-GB"/>
              </w:rPr>
              <w:t>11</w:t>
            </w:r>
            <w:r w:rsidR="000F1F24" w:rsidRPr="000F1F24">
              <w:rPr>
                <w:rFonts w:ascii="Times New Roman" w:hAnsi="Times New Roman"/>
                <w:i/>
                <w:lang w:val="en-GB"/>
              </w:rPr>
              <w:t>)</w:t>
            </w:r>
          </w:p>
        </w:tc>
      </w:tr>
      <w:tr w:rsidR="00591697" w:rsidRPr="00F53249" w14:paraId="573EB08B" w14:textId="77777777" w:rsidTr="00F40693">
        <w:trPr>
          <w:trHeight w:val="683"/>
        </w:trPr>
        <w:tc>
          <w:tcPr>
            <w:tcW w:w="2483" w:type="dxa"/>
          </w:tcPr>
          <w:p w14:paraId="665C0C62" w14:textId="77777777" w:rsidR="00591697" w:rsidRPr="00760F3B" w:rsidRDefault="00591697" w:rsidP="003D1E63">
            <w:pPr>
              <w:spacing w:after="120" w:line="360" w:lineRule="auto"/>
              <w:rPr>
                <w:rFonts w:ascii="Times New Roman" w:hAnsi="Times New Roman"/>
                <w:b/>
                <w:bCs/>
                <w:sz w:val="24"/>
                <w:szCs w:val="24"/>
                <w:lang w:val="en-GB"/>
              </w:rPr>
            </w:pPr>
            <w:r w:rsidRPr="00760F3B">
              <w:rPr>
                <w:rFonts w:ascii="Times New Roman" w:hAnsi="Times New Roman"/>
                <w:b/>
                <w:bCs/>
                <w:sz w:val="24"/>
                <w:szCs w:val="24"/>
                <w:lang w:val="en-GB"/>
              </w:rPr>
              <w:t>Direct debits</w:t>
            </w:r>
          </w:p>
        </w:tc>
        <w:tc>
          <w:tcPr>
            <w:tcW w:w="7151" w:type="dxa"/>
          </w:tcPr>
          <w:p w14:paraId="74540B34" w14:textId="1E8AB027" w:rsidR="00591697" w:rsidRPr="00760F3B" w:rsidRDefault="00591697" w:rsidP="000164EB">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Report the number and value of direct debits </w:t>
            </w:r>
            <w:r w:rsidR="000164EB">
              <w:rPr>
                <w:rFonts w:ascii="Times New Roman" w:hAnsi="Times New Roman"/>
                <w:sz w:val="24"/>
                <w:szCs w:val="24"/>
                <w:lang w:val="en-GB"/>
              </w:rPr>
              <w:t xml:space="preserve">in which </w:t>
            </w:r>
            <w:r w:rsidRPr="00760F3B">
              <w:rPr>
                <w:rFonts w:ascii="Times New Roman" w:hAnsi="Times New Roman"/>
                <w:sz w:val="24"/>
                <w:szCs w:val="24"/>
                <w:lang w:val="en-GB"/>
              </w:rPr>
              <w:t xml:space="preserve">the payer of </w:t>
            </w:r>
            <w:r w:rsidR="000639FF">
              <w:rPr>
                <w:rFonts w:ascii="Times New Roman" w:hAnsi="Times New Roman"/>
                <w:sz w:val="24"/>
                <w:szCs w:val="24"/>
                <w:lang w:val="en-GB"/>
              </w:rPr>
              <w:t>the funds is a customer of the R</w:t>
            </w:r>
            <w:r w:rsidRPr="00760F3B">
              <w:rPr>
                <w:rFonts w:ascii="Times New Roman" w:hAnsi="Times New Roman"/>
                <w:sz w:val="24"/>
                <w:szCs w:val="24"/>
                <w:lang w:val="en-GB"/>
              </w:rPr>
              <w:t xml:space="preserve">eporting </w:t>
            </w:r>
            <w:r w:rsidR="000639FF">
              <w:rPr>
                <w:rFonts w:ascii="Times New Roman" w:hAnsi="Times New Roman"/>
                <w:sz w:val="24"/>
                <w:szCs w:val="24"/>
                <w:lang w:val="en-GB"/>
              </w:rPr>
              <w:t>A</w:t>
            </w:r>
            <w:r w:rsidR="00D44B68">
              <w:rPr>
                <w:rFonts w:ascii="Times New Roman" w:hAnsi="Times New Roman"/>
                <w:sz w:val="24"/>
                <w:szCs w:val="24"/>
                <w:lang w:val="en-GB"/>
              </w:rPr>
              <w:t>gent</w:t>
            </w:r>
            <w:r w:rsidRPr="00760F3B">
              <w:rPr>
                <w:rFonts w:ascii="Times New Roman" w:hAnsi="Times New Roman"/>
                <w:sz w:val="24"/>
                <w:szCs w:val="24"/>
                <w:lang w:val="en-GB"/>
              </w:rPr>
              <w:t>.</w:t>
            </w:r>
          </w:p>
        </w:tc>
      </w:tr>
    </w:tbl>
    <w:p w14:paraId="1B0798A5" w14:textId="77777777" w:rsidR="00591697" w:rsidRPr="00760F3B" w:rsidRDefault="00591697"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41F7ECB5" w14:textId="77777777" w:rsidTr="00106758">
        <w:trPr>
          <w:trHeight w:val="163"/>
        </w:trPr>
        <w:tc>
          <w:tcPr>
            <w:tcW w:w="9634" w:type="dxa"/>
            <w:gridSpan w:val="2"/>
            <w:shd w:val="clear" w:color="auto" w:fill="003199"/>
          </w:tcPr>
          <w:p w14:paraId="0D77A4BF" w14:textId="3E97BAB9" w:rsidR="00591697" w:rsidRPr="00760F3B" w:rsidRDefault="00591697" w:rsidP="000F1F24">
            <w:pPr>
              <w:spacing w:after="120" w:line="360" w:lineRule="auto"/>
              <w:jc w:val="both"/>
              <w:rPr>
                <w:rFonts w:ascii="Times New Roman" w:hAnsi="Times New Roman"/>
                <w:b/>
                <w:bCs/>
                <w:color w:val="FF0000"/>
                <w:sz w:val="24"/>
                <w:szCs w:val="24"/>
                <w:lang w:val="en-GB"/>
              </w:rPr>
            </w:pPr>
            <w:r w:rsidRPr="00760F3B">
              <w:rPr>
                <w:rFonts w:ascii="Times New Roman" w:hAnsi="Times New Roman"/>
                <w:b/>
                <w:bCs/>
                <w:sz w:val="24"/>
                <w:szCs w:val="24"/>
                <w:lang w:val="en-GB"/>
              </w:rPr>
              <w:t>Card</w:t>
            </w:r>
            <w:r w:rsidR="00CC4F19">
              <w:rPr>
                <w:rFonts w:ascii="Times New Roman" w:hAnsi="Times New Roman"/>
                <w:b/>
                <w:bCs/>
                <w:sz w:val="24"/>
                <w:szCs w:val="24"/>
                <w:lang w:val="en-GB"/>
              </w:rPr>
              <w:t>-Based Payment T</w:t>
            </w:r>
            <w:r w:rsidR="007A2FF0">
              <w:rPr>
                <w:rFonts w:ascii="Times New Roman" w:hAnsi="Times New Roman"/>
                <w:b/>
                <w:bCs/>
                <w:sz w:val="24"/>
                <w:szCs w:val="24"/>
                <w:lang w:val="en-GB"/>
              </w:rPr>
              <w:t xml:space="preserve">ransactions </w:t>
            </w:r>
            <w:r w:rsidR="00CC4F19">
              <w:rPr>
                <w:rFonts w:ascii="Times New Roman" w:hAnsi="Times New Roman"/>
                <w:b/>
                <w:bCs/>
                <w:sz w:val="24"/>
                <w:szCs w:val="24"/>
                <w:lang w:val="en-GB"/>
              </w:rPr>
              <w:t>S</w:t>
            </w:r>
            <w:r w:rsidR="007A2FF0">
              <w:rPr>
                <w:rFonts w:ascii="Times New Roman" w:hAnsi="Times New Roman"/>
                <w:b/>
                <w:bCs/>
                <w:sz w:val="24"/>
                <w:szCs w:val="24"/>
                <w:lang w:val="en-GB"/>
              </w:rPr>
              <w:t>ent</w:t>
            </w:r>
            <w:r w:rsidR="000F1F24">
              <w:rPr>
                <w:rFonts w:ascii="Times New Roman" w:hAnsi="Times New Roman"/>
                <w:b/>
                <w:bCs/>
                <w:sz w:val="24"/>
                <w:szCs w:val="24"/>
                <w:lang w:val="en-GB"/>
              </w:rPr>
              <w:t xml:space="preserve"> </w:t>
            </w:r>
            <w:r w:rsidR="000F1F24" w:rsidRPr="000F1F24">
              <w:rPr>
                <w:rFonts w:ascii="Times New Roman" w:hAnsi="Times New Roman"/>
                <w:i/>
                <w:lang w:val="en-GB"/>
              </w:rPr>
              <w:t>(</w:t>
            </w:r>
            <w:r w:rsidR="000F1F24" w:rsidRPr="000F1F24">
              <w:rPr>
                <w:rFonts w:ascii="Times New Roman" w:hAnsi="Times New Roman"/>
                <w:i/>
                <w:sz w:val="24"/>
                <w:szCs w:val="24"/>
                <w:lang w:val="en-GB"/>
              </w:rPr>
              <w:t xml:space="preserve">refers to worksheets </w:t>
            </w:r>
            <w:r w:rsidR="000F1F24">
              <w:rPr>
                <w:rFonts w:ascii="Times New Roman" w:hAnsi="Times New Roman"/>
                <w:i/>
                <w:sz w:val="24"/>
                <w:szCs w:val="24"/>
                <w:lang w:val="en-GB"/>
              </w:rPr>
              <w:t>7.1-7.3.3</w:t>
            </w:r>
            <w:r w:rsidR="000F1F24" w:rsidRPr="000F1F24">
              <w:rPr>
                <w:rFonts w:ascii="Times New Roman" w:hAnsi="Times New Roman"/>
                <w:i/>
                <w:lang w:val="en-GB"/>
              </w:rPr>
              <w:t>)</w:t>
            </w:r>
          </w:p>
        </w:tc>
      </w:tr>
      <w:tr w:rsidR="00591697" w:rsidRPr="00F53249" w14:paraId="40BC52E8" w14:textId="77777777" w:rsidTr="00F40693">
        <w:tc>
          <w:tcPr>
            <w:tcW w:w="2483" w:type="dxa"/>
          </w:tcPr>
          <w:p w14:paraId="5F40B3DE" w14:textId="77777777" w:rsidR="00591697" w:rsidRPr="00FB6888" w:rsidRDefault="00534508" w:rsidP="003D1E63">
            <w:pPr>
              <w:spacing w:after="120" w:line="360" w:lineRule="auto"/>
              <w:rPr>
                <w:rFonts w:ascii="Times New Roman" w:hAnsi="Times New Roman"/>
                <w:b/>
                <w:sz w:val="24"/>
                <w:szCs w:val="24"/>
                <w:lang w:val="en-GB"/>
              </w:rPr>
            </w:pPr>
            <w:r w:rsidRPr="00FB6888">
              <w:rPr>
                <w:rFonts w:ascii="Times New Roman" w:hAnsi="Times New Roman"/>
                <w:b/>
                <w:sz w:val="24"/>
                <w:szCs w:val="24"/>
                <w:lang w:val="en-GB"/>
              </w:rPr>
              <w:t>Card-based payment transactions</w:t>
            </w:r>
          </w:p>
        </w:tc>
        <w:tc>
          <w:tcPr>
            <w:tcW w:w="7151" w:type="dxa"/>
          </w:tcPr>
          <w:p w14:paraId="50413CDD" w14:textId="072875DA" w:rsidR="00AA660C" w:rsidRDefault="00106758" w:rsidP="00760F3B">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Report the number and value of card-based payment </w:t>
            </w:r>
            <w:r w:rsidRPr="00106758">
              <w:rPr>
                <w:rFonts w:ascii="Times New Roman" w:hAnsi="Times New Roman"/>
                <w:sz w:val="24"/>
                <w:szCs w:val="24"/>
                <w:lang w:val="en-GB"/>
              </w:rPr>
              <w:t>transactions (except cards with an e-money function only)</w:t>
            </w:r>
            <w:r w:rsidR="00DE6551">
              <w:rPr>
                <w:rFonts w:ascii="Times New Roman" w:hAnsi="Times New Roman"/>
                <w:sz w:val="24"/>
                <w:szCs w:val="24"/>
                <w:lang w:val="en-GB"/>
              </w:rPr>
              <w:t xml:space="preserve"> sent, </w:t>
            </w:r>
            <w:r w:rsidR="00DE6551" w:rsidRPr="00DE6551">
              <w:rPr>
                <w:rFonts w:ascii="Times New Roman" w:hAnsi="Times New Roman"/>
                <w:sz w:val="24"/>
                <w:szCs w:val="24"/>
                <w:lang w:val="en-GB"/>
              </w:rPr>
              <w:t>if they are the ones acting on behalf of the payer, i.e. sending the funds.</w:t>
            </w:r>
            <w:r w:rsidR="00DE6551">
              <w:rPr>
                <w:rFonts w:ascii="Calibri" w:hAnsi="Calibri" w:cs="Calibri"/>
                <w:sz w:val="22"/>
                <w:szCs w:val="22"/>
                <w:lang w:val="en-US"/>
              </w:rPr>
              <w:t xml:space="preserve"> </w:t>
            </w:r>
          </w:p>
          <w:p w14:paraId="71C8D5BB" w14:textId="79F93845" w:rsidR="00184EE3" w:rsidRPr="00760F3B" w:rsidRDefault="009F0747" w:rsidP="00463D5F">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All card-based payment transactions </w:t>
            </w:r>
            <w:r>
              <w:rPr>
                <w:rFonts w:ascii="Times New Roman" w:hAnsi="Times New Roman"/>
                <w:sz w:val="24"/>
                <w:szCs w:val="24"/>
                <w:lang w:val="en-GB"/>
              </w:rPr>
              <w:t>are reported</w:t>
            </w:r>
            <w:r w:rsidRPr="00760F3B">
              <w:rPr>
                <w:rFonts w:ascii="Times New Roman" w:hAnsi="Times New Roman"/>
                <w:sz w:val="24"/>
                <w:szCs w:val="24"/>
                <w:lang w:val="en-GB"/>
              </w:rPr>
              <w:t xml:space="preserve">, </w:t>
            </w:r>
            <w:r>
              <w:rPr>
                <w:rFonts w:ascii="Times New Roman" w:hAnsi="Times New Roman"/>
                <w:sz w:val="24"/>
                <w:szCs w:val="24"/>
                <w:lang w:val="en-GB"/>
              </w:rPr>
              <w:t>including the</w:t>
            </w:r>
            <w:r w:rsidRPr="00760F3B">
              <w:rPr>
                <w:rFonts w:ascii="Times New Roman" w:hAnsi="Times New Roman"/>
                <w:sz w:val="24"/>
                <w:szCs w:val="24"/>
                <w:lang w:val="en-GB"/>
              </w:rPr>
              <w:t xml:space="preserve"> transactions in which the acquirer and the issuer of the card-based payment instrument/transaction </w:t>
            </w:r>
            <w:r>
              <w:rPr>
                <w:rFonts w:ascii="Times New Roman" w:hAnsi="Times New Roman"/>
                <w:sz w:val="24"/>
                <w:szCs w:val="24"/>
                <w:lang w:val="en-GB"/>
              </w:rPr>
              <w:t>are the same entity, and any d</w:t>
            </w:r>
            <w:r w:rsidRPr="00760F3B">
              <w:rPr>
                <w:rFonts w:ascii="Times New Roman" w:hAnsi="Times New Roman"/>
                <w:sz w:val="24"/>
                <w:szCs w:val="24"/>
                <w:lang w:val="en-GB"/>
              </w:rPr>
              <w:t xml:space="preserve">eductions </w:t>
            </w:r>
            <w:r>
              <w:rPr>
                <w:rFonts w:ascii="Times New Roman" w:hAnsi="Times New Roman"/>
                <w:sz w:val="24"/>
                <w:szCs w:val="24"/>
                <w:lang w:val="en-GB"/>
              </w:rPr>
              <w:t xml:space="preserve">arising </w:t>
            </w:r>
            <w:r w:rsidRPr="00760F3B">
              <w:rPr>
                <w:rFonts w:ascii="Times New Roman" w:hAnsi="Times New Roman"/>
                <w:sz w:val="24"/>
                <w:szCs w:val="24"/>
                <w:lang w:val="en-GB"/>
              </w:rPr>
              <w:t xml:space="preserve">from the settlement of </w:t>
            </w:r>
            <w:r>
              <w:rPr>
                <w:rFonts w:ascii="Times New Roman" w:hAnsi="Times New Roman"/>
                <w:sz w:val="24"/>
                <w:szCs w:val="24"/>
                <w:lang w:val="en-GB"/>
              </w:rPr>
              <w:t xml:space="preserve">such </w:t>
            </w:r>
            <w:r w:rsidRPr="00760F3B">
              <w:rPr>
                <w:rFonts w:ascii="Times New Roman" w:hAnsi="Times New Roman"/>
                <w:sz w:val="24"/>
                <w:szCs w:val="24"/>
                <w:lang w:val="en-GB"/>
              </w:rPr>
              <w:t xml:space="preserve">transaction are included.  </w:t>
            </w:r>
            <w:r w:rsidR="00184EE3" w:rsidRPr="00760F3B">
              <w:rPr>
                <w:rFonts w:ascii="Times New Roman" w:hAnsi="Times New Roman"/>
                <w:sz w:val="24"/>
                <w:szCs w:val="24"/>
                <w:lang w:val="en-GB"/>
              </w:rPr>
              <w:t>Card-based payment transactions by telephone or over the internet using a card-based pay</w:t>
            </w:r>
            <w:r w:rsidR="003C5CF2">
              <w:rPr>
                <w:rFonts w:ascii="Times New Roman" w:hAnsi="Times New Roman"/>
                <w:sz w:val="24"/>
                <w:szCs w:val="24"/>
                <w:lang w:val="en-GB"/>
              </w:rPr>
              <w:t>ment instrument are included.</w:t>
            </w:r>
            <w:bookmarkStart w:id="39" w:name="_Ref75501691"/>
            <w:r w:rsidR="00BC26A8">
              <w:rPr>
                <w:rStyle w:val="FootnoteReference"/>
                <w:rFonts w:ascii="Times New Roman" w:hAnsi="Times New Roman"/>
                <w:sz w:val="24"/>
                <w:szCs w:val="24"/>
                <w:lang w:val="en-GB"/>
              </w:rPr>
              <w:footnoteReference w:id="62"/>
            </w:r>
            <w:bookmarkEnd w:id="39"/>
            <w:r w:rsidR="003C5CF2">
              <w:rPr>
                <w:rFonts w:ascii="Times New Roman" w:hAnsi="Times New Roman"/>
                <w:sz w:val="24"/>
                <w:szCs w:val="24"/>
                <w:lang w:val="en-GB"/>
              </w:rPr>
              <w:t xml:space="preserve"> </w:t>
            </w:r>
          </w:p>
        </w:tc>
      </w:tr>
      <w:tr w:rsidR="007A2FF0" w:rsidRPr="005C174F" w14:paraId="0B2CC1D9" w14:textId="77777777" w:rsidTr="00F40693">
        <w:tc>
          <w:tcPr>
            <w:tcW w:w="2483" w:type="dxa"/>
          </w:tcPr>
          <w:p w14:paraId="13C55E62" w14:textId="77777777" w:rsidR="007A2FF0" w:rsidRDefault="007A2FF0" w:rsidP="003D1E63">
            <w:pPr>
              <w:spacing w:after="120" w:line="360" w:lineRule="auto"/>
              <w:rPr>
                <w:rFonts w:ascii="Times New Roman" w:hAnsi="Times New Roman"/>
                <w:sz w:val="24"/>
                <w:szCs w:val="24"/>
                <w:lang w:val="en-GB"/>
              </w:rPr>
            </w:pPr>
            <w:r>
              <w:rPr>
                <w:rFonts w:ascii="Times New Roman" w:hAnsi="Times New Roman"/>
                <w:sz w:val="24"/>
                <w:szCs w:val="24"/>
                <w:lang w:val="en-GB"/>
              </w:rPr>
              <w:lastRenderedPageBreak/>
              <w:t xml:space="preserve">‘Initiated </w:t>
            </w:r>
            <w:r w:rsidR="004A0E15">
              <w:rPr>
                <w:rFonts w:ascii="Times New Roman" w:hAnsi="Times New Roman"/>
                <w:sz w:val="24"/>
                <w:szCs w:val="24"/>
                <w:lang w:val="en-GB"/>
              </w:rPr>
              <w:t>e</w:t>
            </w:r>
            <w:r>
              <w:rPr>
                <w:rFonts w:ascii="Times New Roman" w:hAnsi="Times New Roman"/>
                <w:sz w:val="24"/>
                <w:szCs w:val="24"/>
                <w:lang w:val="en-GB"/>
              </w:rPr>
              <w:t>lectronically’ and ‘Initiated non-electronically’</w:t>
            </w:r>
          </w:p>
        </w:tc>
        <w:tc>
          <w:tcPr>
            <w:tcW w:w="7151" w:type="dxa"/>
          </w:tcPr>
          <w:p w14:paraId="15C28FC0" w14:textId="77777777" w:rsidR="003C5CF2" w:rsidRDefault="003C5CF2" w:rsidP="003C5CF2">
            <w:pPr>
              <w:spacing w:after="120" w:line="360" w:lineRule="auto"/>
              <w:jc w:val="both"/>
              <w:rPr>
                <w:rFonts w:ascii="Times New Roman" w:hAnsi="Times New Roman"/>
                <w:sz w:val="24"/>
                <w:szCs w:val="24"/>
                <w:lang w:val="en-GB"/>
              </w:rPr>
            </w:pPr>
            <w:r w:rsidRPr="00AA660C">
              <w:rPr>
                <w:rFonts w:ascii="Times New Roman" w:hAnsi="Times New Roman"/>
                <w:sz w:val="24"/>
                <w:szCs w:val="24"/>
                <w:lang w:val="en-GB"/>
              </w:rPr>
              <w:t>Card-bas</w:t>
            </w:r>
            <w:r>
              <w:rPr>
                <w:rFonts w:ascii="Times New Roman" w:hAnsi="Times New Roman"/>
                <w:sz w:val="24"/>
                <w:szCs w:val="24"/>
                <w:lang w:val="en-GB"/>
              </w:rPr>
              <w:t>ed payment transactions are split into those</w:t>
            </w:r>
            <w:r w:rsidRPr="00AA660C">
              <w:rPr>
                <w:rFonts w:ascii="Times New Roman" w:hAnsi="Times New Roman"/>
                <w:sz w:val="24"/>
                <w:szCs w:val="24"/>
                <w:lang w:val="en-GB"/>
              </w:rPr>
              <w:t xml:space="preserve"> ‘initiated electronically’</w:t>
            </w:r>
            <w:bookmarkStart w:id="40" w:name="_Ref81221735"/>
            <w:r w:rsidR="005C174F">
              <w:rPr>
                <w:rStyle w:val="FootnoteReference"/>
                <w:rFonts w:ascii="Times New Roman" w:hAnsi="Times New Roman"/>
                <w:sz w:val="24"/>
                <w:szCs w:val="24"/>
                <w:lang w:val="en-GB"/>
              </w:rPr>
              <w:footnoteReference w:id="63"/>
            </w:r>
            <w:bookmarkEnd w:id="40"/>
            <w:r w:rsidRPr="00AA660C">
              <w:rPr>
                <w:rFonts w:ascii="Times New Roman" w:hAnsi="Times New Roman"/>
                <w:sz w:val="24"/>
                <w:szCs w:val="24"/>
                <w:lang w:val="en-GB"/>
              </w:rPr>
              <w:t xml:space="preserve"> </w:t>
            </w:r>
            <w:r w:rsidR="00C018C5" w:rsidRPr="00AA660C">
              <w:rPr>
                <w:rFonts w:ascii="Times New Roman" w:hAnsi="Times New Roman"/>
                <w:sz w:val="24"/>
                <w:szCs w:val="24"/>
                <w:lang w:val="en-GB"/>
              </w:rPr>
              <w:t xml:space="preserve">and </w:t>
            </w:r>
            <w:r w:rsidR="00C018C5">
              <w:rPr>
                <w:rFonts w:ascii="Times New Roman" w:hAnsi="Times New Roman"/>
                <w:sz w:val="24"/>
                <w:szCs w:val="24"/>
                <w:lang w:val="en-GB"/>
              </w:rPr>
              <w:t>those</w:t>
            </w:r>
            <w:r>
              <w:rPr>
                <w:rFonts w:ascii="Times New Roman" w:hAnsi="Times New Roman"/>
                <w:sz w:val="24"/>
                <w:szCs w:val="24"/>
                <w:lang w:val="en-GB"/>
              </w:rPr>
              <w:t xml:space="preserve"> </w:t>
            </w:r>
            <w:r w:rsidRPr="00AA660C">
              <w:rPr>
                <w:rFonts w:ascii="Times New Roman" w:hAnsi="Times New Roman"/>
                <w:sz w:val="24"/>
                <w:szCs w:val="24"/>
                <w:lang w:val="en-GB"/>
              </w:rPr>
              <w:t>‘initiated non-electronically’</w:t>
            </w:r>
            <w:bookmarkStart w:id="41" w:name="_Ref72000886"/>
            <w:r>
              <w:rPr>
                <w:rStyle w:val="FootnoteReference"/>
                <w:rFonts w:ascii="Times New Roman" w:hAnsi="Times New Roman"/>
                <w:sz w:val="24"/>
                <w:szCs w:val="24"/>
                <w:lang w:val="en-GB"/>
              </w:rPr>
              <w:footnoteReference w:id="64"/>
            </w:r>
            <w:bookmarkEnd w:id="41"/>
            <w:r>
              <w:rPr>
                <w:rFonts w:ascii="Times New Roman" w:hAnsi="Times New Roman"/>
                <w:sz w:val="24"/>
                <w:szCs w:val="24"/>
                <w:lang w:val="en-GB"/>
              </w:rPr>
              <w:t>.</w:t>
            </w:r>
            <w:r w:rsidRPr="00AA660C">
              <w:rPr>
                <w:rFonts w:ascii="Times New Roman" w:hAnsi="Times New Roman"/>
                <w:sz w:val="24"/>
                <w:szCs w:val="24"/>
                <w:lang w:val="en-GB"/>
              </w:rPr>
              <w:t xml:space="preserve"> The</w:t>
            </w:r>
            <w:r>
              <w:rPr>
                <w:rFonts w:ascii="Times New Roman" w:hAnsi="Times New Roman"/>
                <w:sz w:val="24"/>
                <w:szCs w:val="24"/>
                <w:lang w:val="en-GB"/>
              </w:rPr>
              <w:t>se categories are mutually exclusive.</w:t>
            </w:r>
          </w:p>
          <w:p w14:paraId="64116A6D" w14:textId="77777777" w:rsidR="007A2FF0" w:rsidRPr="00760F3B" w:rsidRDefault="007A2FF0" w:rsidP="00760F3B">
            <w:pPr>
              <w:spacing w:after="120" w:line="360" w:lineRule="auto"/>
              <w:jc w:val="both"/>
              <w:rPr>
                <w:rFonts w:ascii="Times New Roman" w:hAnsi="Times New Roman"/>
                <w:sz w:val="24"/>
                <w:szCs w:val="24"/>
                <w:lang w:val="en-GB"/>
              </w:rPr>
            </w:pPr>
          </w:p>
        </w:tc>
      </w:tr>
      <w:tr w:rsidR="00C061E2" w:rsidRPr="00F53249" w14:paraId="03B823DF" w14:textId="77777777" w:rsidTr="00C061E2">
        <w:tc>
          <w:tcPr>
            <w:tcW w:w="9634" w:type="dxa"/>
            <w:gridSpan w:val="2"/>
            <w:shd w:val="clear" w:color="auto" w:fill="B4C6E7" w:themeFill="accent5" w:themeFillTint="66"/>
          </w:tcPr>
          <w:p w14:paraId="4F156B09" w14:textId="77777777" w:rsidR="00C061E2" w:rsidRPr="00C061E2" w:rsidRDefault="00C061E2" w:rsidP="00C061E2">
            <w:pPr>
              <w:spacing w:after="120" w:line="360" w:lineRule="auto"/>
              <w:jc w:val="both"/>
              <w:rPr>
                <w:rFonts w:ascii="Times New Roman" w:hAnsi="Times New Roman"/>
                <w:b/>
                <w:sz w:val="24"/>
                <w:szCs w:val="24"/>
                <w:lang w:val="en-GB"/>
              </w:rPr>
            </w:pPr>
            <w:r w:rsidRPr="00C061E2">
              <w:rPr>
                <w:rFonts w:ascii="Times New Roman" w:hAnsi="Times New Roman"/>
                <w:b/>
                <w:sz w:val="24"/>
                <w:szCs w:val="24"/>
                <w:lang w:val="en-GB"/>
              </w:rPr>
              <w:t>Card-based payment transactions initiated electronically</w:t>
            </w:r>
          </w:p>
        </w:tc>
      </w:tr>
      <w:tr w:rsidR="00294B7E" w:rsidRPr="009E0CD8" w14:paraId="0FF0FE6A" w14:textId="77777777" w:rsidTr="00F40693">
        <w:tc>
          <w:tcPr>
            <w:tcW w:w="2483" w:type="dxa"/>
          </w:tcPr>
          <w:p w14:paraId="4A44CF31" w14:textId="77777777" w:rsidR="00294B7E" w:rsidRDefault="00184EE3" w:rsidP="003D1E63">
            <w:pPr>
              <w:spacing w:after="120" w:line="360" w:lineRule="auto"/>
              <w:rPr>
                <w:rFonts w:ascii="Times New Roman" w:hAnsi="Times New Roman"/>
                <w:sz w:val="24"/>
                <w:szCs w:val="24"/>
                <w:lang w:val="en-GB"/>
              </w:rPr>
            </w:pPr>
            <w:r>
              <w:rPr>
                <w:rFonts w:ascii="Times New Roman" w:hAnsi="Times New Roman"/>
                <w:sz w:val="24"/>
                <w:szCs w:val="24"/>
                <w:lang w:val="en-GB"/>
              </w:rPr>
              <w:t>Remote and non-Remote channel</w:t>
            </w:r>
            <w:r w:rsidR="00294B7E">
              <w:rPr>
                <w:rFonts w:ascii="Times New Roman" w:hAnsi="Times New Roman"/>
                <w:sz w:val="24"/>
                <w:szCs w:val="24"/>
                <w:lang w:val="en-GB"/>
              </w:rPr>
              <w:t>/</w:t>
            </w:r>
          </w:p>
          <w:p w14:paraId="4CCD78F2" w14:textId="77777777" w:rsidR="00CE62C3" w:rsidRDefault="00CE62C3" w:rsidP="003D1E63">
            <w:pPr>
              <w:spacing w:after="120" w:line="360" w:lineRule="auto"/>
              <w:rPr>
                <w:rFonts w:ascii="Times New Roman" w:hAnsi="Times New Roman"/>
                <w:sz w:val="24"/>
                <w:szCs w:val="24"/>
                <w:lang w:val="en-GB"/>
              </w:rPr>
            </w:pPr>
            <w:r>
              <w:rPr>
                <w:rFonts w:ascii="Times New Roman" w:hAnsi="Times New Roman"/>
                <w:sz w:val="24"/>
                <w:szCs w:val="24"/>
                <w:lang w:val="en-GB"/>
              </w:rPr>
              <w:t>Authenticated via non-SCA</w:t>
            </w:r>
          </w:p>
          <w:p w14:paraId="01A5B635" w14:textId="77777777" w:rsidR="00184EE3" w:rsidRDefault="00184EE3" w:rsidP="00294B7E">
            <w:pPr>
              <w:spacing w:after="120" w:line="360" w:lineRule="auto"/>
              <w:jc w:val="both"/>
              <w:rPr>
                <w:rFonts w:ascii="Times New Roman" w:hAnsi="Times New Roman"/>
                <w:sz w:val="24"/>
                <w:szCs w:val="24"/>
                <w:lang w:val="en-GB"/>
              </w:rPr>
            </w:pPr>
          </w:p>
          <w:p w14:paraId="4D4BBE02" w14:textId="77777777" w:rsidR="00294B7E" w:rsidRPr="00C061E2" w:rsidRDefault="00294B7E" w:rsidP="00294B7E">
            <w:pPr>
              <w:spacing w:after="120" w:line="360" w:lineRule="auto"/>
              <w:jc w:val="both"/>
              <w:rPr>
                <w:rFonts w:ascii="Times New Roman" w:hAnsi="Times New Roman"/>
                <w:sz w:val="24"/>
                <w:szCs w:val="24"/>
                <w:lang w:val="en-GB"/>
              </w:rPr>
            </w:pPr>
          </w:p>
        </w:tc>
        <w:tc>
          <w:tcPr>
            <w:tcW w:w="7151" w:type="dxa"/>
          </w:tcPr>
          <w:p w14:paraId="6DC539C0" w14:textId="77777777" w:rsidR="00EE4190" w:rsidRDefault="00EE4190" w:rsidP="00294B7E">
            <w:pPr>
              <w:spacing w:after="120" w:line="360" w:lineRule="auto"/>
              <w:jc w:val="both"/>
              <w:rPr>
                <w:rFonts w:ascii="Times New Roman" w:hAnsi="Times New Roman"/>
                <w:sz w:val="24"/>
                <w:szCs w:val="24"/>
                <w:lang w:val="en-GB"/>
              </w:rPr>
            </w:pPr>
            <w:r w:rsidRPr="00EE4190">
              <w:rPr>
                <w:rFonts w:ascii="Times New Roman" w:hAnsi="Times New Roman"/>
                <w:sz w:val="24"/>
                <w:szCs w:val="24"/>
                <w:lang w:val="en-GB"/>
              </w:rPr>
              <w:t>Card-based payment transactions initiated electronically are</w:t>
            </w:r>
            <w:r w:rsidR="00F343F8">
              <w:rPr>
                <w:rFonts w:ascii="Times New Roman" w:hAnsi="Times New Roman"/>
                <w:sz w:val="24"/>
                <w:szCs w:val="24"/>
                <w:lang w:val="en-GB"/>
              </w:rPr>
              <w:t xml:space="preserve"> the sum of those initiated </w:t>
            </w:r>
            <w:r w:rsidRPr="00EE4190">
              <w:rPr>
                <w:rFonts w:ascii="Times New Roman" w:hAnsi="Times New Roman"/>
                <w:sz w:val="24"/>
                <w:szCs w:val="24"/>
                <w:lang w:val="en-GB"/>
              </w:rPr>
              <w:t>remote</w:t>
            </w:r>
            <w:r w:rsidR="00F343F8">
              <w:rPr>
                <w:rFonts w:ascii="Times New Roman" w:hAnsi="Times New Roman"/>
                <w:sz w:val="24"/>
                <w:szCs w:val="24"/>
                <w:lang w:val="en-GB"/>
              </w:rPr>
              <w:t>ly</w:t>
            </w:r>
            <w:r w:rsidRPr="00EE4190">
              <w:rPr>
                <w:rFonts w:ascii="Times New Roman" w:hAnsi="Times New Roman"/>
                <w:sz w:val="24"/>
                <w:szCs w:val="24"/>
                <w:lang w:val="en-GB"/>
              </w:rPr>
              <w:t xml:space="preserve"> and non-remote</w:t>
            </w:r>
            <w:r w:rsidR="00F343F8">
              <w:rPr>
                <w:rFonts w:ascii="Times New Roman" w:hAnsi="Times New Roman"/>
                <w:sz w:val="24"/>
                <w:szCs w:val="24"/>
                <w:lang w:val="en-GB"/>
              </w:rPr>
              <w:t xml:space="preserve">ly. Within these breakdowns transactions are reported by payment card scheme and for each scheme, they are further broken down by authentication channel. </w:t>
            </w:r>
          </w:p>
          <w:p w14:paraId="42457D0D" w14:textId="77777777" w:rsidR="00CB1020" w:rsidRDefault="00CB1020" w:rsidP="00CB1020">
            <w:pPr>
              <w:spacing w:after="120" w:line="360" w:lineRule="auto"/>
              <w:jc w:val="both"/>
              <w:rPr>
                <w:rFonts w:ascii="Times New Roman" w:hAnsi="Times New Roman"/>
                <w:sz w:val="24"/>
                <w:szCs w:val="24"/>
                <w:u w:val="single"/>
                <w:lang w:val="en-GB"/>
              </w:rPr>
            </w:pPr>
            <w:r>
              <w:rPr>
                <w:rFonts w:ascii="Times New Roman" w:hAnsi="Times New Roman"/>
                <w:sz w:val="24"/>
                <w:szCs w:val="24"/>
                <w:u w:val="single"/>
                <w:lang w:val="en-GB"/>
              </w:rPr>
              <w:t>Remote and non-Remote channel</w:t>
            </w:r>
          </w:p>
          <w:p w14:paraId="7EDB30C3" w14:textId="7533A235" w:rsidR="00294B7E" w:rsidRDefault="00F343F8" w:rsidP="00294B7E">
            <w:pPr>
              <w:spacing w:after="120" w:line="360" w:lineRule="auto"/>
              <w:jc w:val="both"/>
              <w:rPr>
                <w:rFonts w:ascii="Times New Roman" w:hAnsi="Times New Roman"/>
                <w:sz w:val="24"/>
                <w:szCs w:val="24"/>
                <w:lang w:val="en-GB"/>
              </w:rPr>
            </w:pPr>
            <w:r>
              <w:rPr>
                <w:rFonts w:ascii="Times New Roman" w:hAnsi="Times New Roman"/>
                <w:sz w:val="24"/>
                <w:szCs w:val="24"/>
                <w:lang w:val="en-GB"/>
              </w:rPr>
              <w:t>Remote payment channel</w:t>
            </w:r>
            <w:r w:rsidR="006F3D9B">
              <w:rPr>
                <w:rStyle w:val="FootnoteReference"/>
                <w:rFonts w:ascii="Times New Roman" w:hAnsi="Times New Roman"/>
                <w:sz w:val="24"/>
                <w:szCs w:val="24"/>
                <w:lang w:val="en-GB"/>
              </w:rPr>
              <w:footnoteReference w:id="65"/>
            </w:r>
            <w:r>
              <w:rPr>
                <w:rFonts w:ascii="Times New Roman" w:hAnsi="Times New Roman"/>
                <w:sz w:val="24"/>
                <w:szCs w:val="24"/>
                <w:lang w:val="en-GB"/>
              </w:rPr>
              <w:t xml:space="preserve"> includes the transactions </w:t>
            </w:r>
            <w:r w:rsidR="00D44B68">
              <w:rPr>
                <w:rFonts w:ascii="Times New Roman" w:hAnsi="Times New Roman"/>
                <w:sz w:val="24"/>
                <w:szCs w:val="24"/>
                <w:lang w:val="en-GB"/>
              </w:rPr>
              <w:t>initiated using ‘M</w:t>
            </w:r>
            <w:r w:rsidR="00922806">
              <w:rPr>
                <w:rFonts w:ascii="Times New Roman" w:hAnsi="Times New Roman"/>
                <w:sz w:val="24"/>
                <w:szCs w:val="24"/>
                <w:lang w:val="en-GB"/>
              </w:rPr>
              <w:t>obile payment solution’</w:t>
            </w:r>
            <w:r w:rsidR="00083E4D">
              <w:rPr>
                <w:rStyle w:val="FootnoteReference"/>
                <w:rFonts w:ascii="Times New Roman" w:hAnsi="Times New Roman"/>
                <w:sz w:val="24"/>
                <w:szCs w:val="24"/>
                <w:lang w:val="en-GB"/>
              </w:rPr>
              <w:footnoteReference w:id="66"/>
            </w:r>
            <w:r w:rsidR="00922806" w:rsidRPr="00922806">
              <w:rPr>
                <w:rStyle w:val="FootnoteReference"/>
                <w:lang w:val="en-GB"/>
              </w:rPr>
              <w:t xml:space="preserve"> </w:t>
            </w:r>
            <w:r w:rsidR="00D44B68">
              <w:rPr>
                <w:rFonts w:ascii="Times New Roman" w:hAnsi="Times New Roman"/>
                <w:sz w:val="24"/>
                <w:szCs w:val="24"/>
                <w:lang w:val="en-GB"/>
              </w:rPr>
              <w:t>and ‘O</w:t>
            </w:r>
            <w:r w:rsidR="00922806">
              <w:rPr>
                <w:rFonts w:ascii="Times New Roman" w:hAnsi="Times New Roman"/>
                <w:sz w:val="24"/>
                <w:szCs w:val="24"/>
                <w:lang w:val="en-GB"/>
              </w:rPr>
              <w:t>ther’. These two sub-categories are mutually exclusive.</w:t>
            </w:r>
            <w:r w:rsidR="00D44B68">
              <w:rPr>
                <w:rFonts w:ascii="Times New Roman" w:hAnsi="Times New Roman"/>
                <w:sz w:val="24"/>
                <w:szCs w:val="24"/>
                <w:lang w:val="en-GB"/>
              </w:rPr>
              <w:t xml:space="preserve"> The sub-category ‘M</w:t>
            </w:r>
            <w:r w:rsidR="00F42439">
              <w:rPr>
                <w:rFonts w:ascii="Times New Roman" w:hAnsi="Times New Roman"/>
                <w:sz w:val="24"/>
                <w:szCs w:val="24"/>
                <w:lang w:val="en-GB"/>
              </w:rPr>
              <w:t>obile payment solution’ is further broken down into ‘P2P mobile payment solution’</w:t>
            </w:r>
            <w:bookmarkStart w:id="42" w:name="_Ref83197737"/>
            <w:r w:rsidR="00BE06B8">
              <w:rPr>
                <w:rStyle w:val="FootnoteReference"/>
                <w:rFonts w:ascii="Times New Roman" w:hAnsi="Times New Roman"/>
                <w:sz w:val="24"/>
                <w:szCs w:val="24"/>
                <w:lang w:val="en-GB"/>
              </w:rPr>
              <w:footnoteReference w:id="67"/>
            </w:r>
            <w:bookmarkEnd w:id="42"/>
            <w:r w:rsidR="00F42439">
              <w:rPr>
                <w:rFonts w:ascii="Times New Roman" w:hAnsi="Times New Roman"/>
                <w:sz w:val="24"/>
                <w:szCs w:val="24"/>
                <w:lang w:val="en-GB"/>
              </w:rPr>
              <w:t>.</w:t>
            </w:r>
            <w:r w:rsidR="006B13EE">
              <w:rPr>
                <w:rFonts w:ascii="Times New Roman" w:hAnsi="Times New Roman"/>
                <w:sz w:val="24"/>
                <w:szCs w:val="24"/>
                <w:lang w:val="en-GB"/>
              </w:rPr>
              <w:t xml:space="preserve"> </w:t>
            </w:r>
            <w:r w:rsidR="0097699D">
              <w:rPr>
                <w:rFonts w:ascii="Times New Roman" w:hAnsi="Times New Roman"/>
                <w:sz w:val="24"/>
                <w:szCs w:val="24"/>
                <w:lang w:val="en-GB"/>
              </w:rPr>
              <w:t>Non-remote payment chann</w:t>
            </w:r>
            <w:r w:rsidR="00D44B68">
              <w:rPr>
                <w:rFonts w:ascii="Times New Roman" w:hAnsi="Times New Roman"/>
                <w:sz w:val="24"/>
                <w:szCs w:val="24"/>
                <w:lang w:val="en-GB"/>
              </w:rPr>
              <w:t>el is the sum of transactions ‘I</w:t>
            </w:r>
            <w:r w:rsidR="0097699D">
              <w:rPr>
                <w:rFonts w:ascii="Times New Roman" w:hAnsi="Times New Roman"/>
                <w:sz w:val="24"/>
                <w:szCs w:val="24"/>
                <w:lang w:val="en-GB"/>
              </w:rPr>
              <w:t xml:space="preserve">nitiated at physical </w:t>
            </w:r>
            <w:r w:rsidR="0097699D" w:rsidRPr="00CB1020">
              <w:rPr>
                <w:rFonts w:ascii="Times New Roman" w:hAnsi="Times New Roman"/>
                <w:sz w:val="24"/>
                <w:szCs w:val="24"/>
                <w:lang w:val="en-GB"/>
              </w:rPr>
              <w:t>EFTPOS’</w:t>
            </w:r>
            <w:bookmarkStart w:id="43" w:name="_Ref72000829"/>
            <w:r w:rsidR="0097699D" w:rsidRPr="00760F3B">
              <w:rPr>
                <w:rStyle w:val="FootnoteReference"/>
                <w:rFonts w:ascii="Times New Roman" w:hAnsi="Times New Roman"/>
                <w:sz w:val="24"/>
                <w:szCs w:val="24"/>
                <w:lang w:val="en-GB"/>
              </w:rPr>
              <w:footnoteReference w:id="68"/>
            </w:r>
            <w:bookmarkEnd w:id="43"/>
            <w:r w:rsidR="00D44B68">
              <w:rPr>
                <w:rFonts w:ascii="Times New Roman" w:hAnsi="Times New Roman"/>
                <w:sz w:val="24"/>
                <w:szCs w:val="24"/>
                <w:lang w:val="en-GB"/>
              </w:rPr>
              <w:t>, ‘I</w:t>
            </w:r>
            <w:r w:rsidR="0097699D">
              <w:rPr>
                <w:rFonts w:ascii="Times New Roman" w:hAnsi="Times New Roman"/>
                <w:sz w:val="24"/>
                <w:szCs w:val="24"/>
                <w:lang w:val="en-GB"/>
              </w:rPr>
              <w:t>nitiated at an ATM’</w:t>
            </w:r>
            <w:bookmarkStart w:id="44" w:name="_Ref81205907"/>
            <w:r w:rsidR="000C3CEF">
              <w:rPr>
                <w:rStyle w:val="FootnoteReference"/>
                <w:rFonts w:ascii="Times New Roman" w:hAnsi="Times New Roman"/>
                <w:sz w:val="24"/>
                <w:szCs w:val="24"/>
                <w:lang w:val="en-GB"/>
              </w:rPr>
              <w:footnoteReference w:id="69"/>
            </w:r>
            <w:bookmarkEnd w:id="44"/>
            <w:r w:rsidR="0097699D">
              <w:rPr>
                <w:rFonts w:ascii="Times New Roman" w:hAnsi="Times New Roman"/>
                <w:sz w:val="24"/>
                <w:szCs w:val="24"/>
                <w:lang w:val="en-GB"/>
              </w:rPr>
              <w:t xml:space="preserve"> and ‘Others’</w:t>
            </w:r>
            <w:bookmarkStart w:id="45" w:name="_Ref75503493"/>
            <w:r w:rsidR="00EC206D">
              <w:rPr>
                <w:rStyle w:val="FootnoteReference"/>
                <w:rFonts w:ascii="Times New Roman" w:hAnsi="Times New Roman"/>
                <w:sz w:val="24"/>
                <w:szCs w:val="24"/>
                <w:lang w:val="en-GB"/>
              </w:rPr>
              <w:footnoteReference w:id="70"/>
            </w:r>
            <w:bookmarkEnd w:id="45"/>
            <w:r w:rsidR="00D44B68">
              <w:rPr>
                <w:rFonts w:ascii="Times New Roman" w:hAnsi="Times New Roman"/>
                <w:sz w:val="24"/>
                <w:szCs w:val="24"/>
                <w:lang w:val="en-GB"/>
              </w:rPr>
              <w:t>. Transactions ‘I</w:t>
            </w:r>
            <w:r w:rsidR="0097699D">
              <w:rPr>
                <w:rFonts w:ascii="Times New Roman" w:hAnsi="Times New Roman"/>
                <w:sz w:val="24"/>
                <w:szCs w:val="24"/>
                <w:lang w:val="en-GB"/>
              </w:rPr>
              <w:t xml:space="preserve">nitiated at physical EFTPOS’ are broken down into ‘Contactless </w:t>
            </w:r>
            <w:r w:rsidR="0097699D">
              <w:rPr>
                <w:rFonts w:ascii="Times New Roman" w:hAnsi="Times New Roman"/>
                <w:sz w:val="24"/>
                <w:szCs w:val="24"/>
                <w:lang w:val="en-GB"/>
              </w:rPr>
              <w:lastRenderedPageBreak/>
              <w:t>payments’</w:t>
            </w:r>
            <w:r w:rsidR="00BD7619">
              <w:rPr>
                <w:rStyle w:val="FootnoteReference"/>
                <w:rFonts w:ascii="Times New Roman" w:hAnsi="Times New Roman"/>
                <w:sz w:val="24"/>
                <w:szCs w:val="24"/>
                <w:lang w:val="en-GB"/>
              </w:rPr>
              <w:footnoteReference w:id="71"/>
            </w:r>
            <w:r w:rsidR="0097699D">
              <w:rPr>
                <w:rFonts w:ascii="Times New Roman" w:hAnsi="Times New Roman"/>
                <w:sz w:val="24"/>
                <w:szCs w:val="24"/>
                <w:lang w:val="en-GB"/>
              </w:rPr>
              <w:t xml:space="preserve"> and those further into ‘Near Field Communication (NFC) payments’</w:t>
            </w:r>
            <w:r w:rsidR="0097699D">
              <w:rPr>
                <w:rStyle w:val="FootnoteReference"/>
                <w:rFonts w:ascii="Times New Roman" w:hAnsi="Times New Roman"/>
                <w:sz w:val="24"/>
                <w:szCs w:val="24"/>
                <w:lang w:val="en-GB"/>
              </w:rPr>
              <w:footnoteReference w:id="72"/>
            </w:r>
            <w:r w:rsidR="0097699D">
              <w:rPr>
                <w:rFonts w:ascii="Times New Roman" w:hAnsi="Times New Roman"/>
                <w:sz w:val="24"/>
                <w:szCs w:val="24"/>
                <w:lang w:val="en-GB"/>
              </w:rPr>
              <w:t>.</w:t>
            </w:r>
          </w:p>
          <w:p w14:paraId="39EAAF43" w14:textId="77777777" w:rsidR="00100E67" w:rsidRDefault="00CE62C3" w:rsidP="00100E67">
            <w:pPr>
              <w:spacing w:after="120" w:line="360" w:lineRule="auto"/>
              <w:jc w:val="both"/>
              <w:rPr>
                <w:rFonts w:ascii="Times New Roman" w:hAnsi="Times New Roman"/>
                <w:sz w:val="24"/>
                <w:szCs w:val="24"/>
                <w:u w:val="single"/>
                <w:lang w:val="en-GB"/>
              </w:rPr>
            </w:pPr>
            <w:r>
              <w:rPr>
                <w:rFonts w:ascii="Times New Roman" w:hAnsi="Times New Roman"/>
                <w:sz w:val="24"/>
                <w:szCs w:val="24"/>
                <w:u w:val="single"/>
                <w:lang w:val="en-GB"/>
              </w:rPr>
              <w:t>Authenticated via non-SCA</w:t>
            </w:r>
          </w:p>
          <w:p w14:paraId="7B527215" w14:textId="171D1703" w:rsidR="00100E67" w:rsidRDefault="00100E67" w:rsidP="00100E67">
            <w:pPr>
              <w:spacing w:after="120" w:line="360" w:lineRule="auto"/>
              <w:jc w:val="both"/>
              <w:rPr>
                <w:rFonts w:ascii="Times New Roman" w:hAnsi="Times New Roman"/>
                <w:sz w:val="24"/>
                <w:szCs w:val="24"/>
                <w:lang w:val="en-GB"/>
              </w:rPr>
            </w:pPr>
            <w:r>
              <w:rPr>
                <w:rFonts w:ascii="Times New Roman" w:hAnsi="Times New Roman"/>
                <w:sz w:val="24"/>
                <w:szCs w:val="24"/>
                <w:lang w:val="en-GB"/>
              </w:rPr>
              <w:t>C</w:t>
            </w:r>
            <w:r w:rsidRPr="00760F3B">
              <w:rPr>
                <w:rFonts w:ascii="Times New Roman" w:hAnsi="Times New Roman"/>
                <w:sz w:val="24"/>
                <w:szCs w:val="24"/>
                <w:lang w:val="en-GB"/>
              </w:rPr>
              <w:t xml:space="preserve">ard-based payment transactions initiated electronically </w:t>
            </w:r>
            <w:r>
              <w:rPr>
                <w:rFonts w:ascii="Times New Roman" w:hAnsi="Times New Roman"/>
                <w:sz w:val="24"/>
                <w:szCs w:val="24"/>
                <w:lang w:val="en-GB"/>
              </w:rPr>
              <w:t xml:space="preserve">are broken down into the </w:t>
            </w:r>
            <w:r w:rsidRPr="00501009">
              <w:rPr>
                <w:rFonts w:ascii="Times New Roman" w:hAnsi="Times New Roman"/>
                <w:sz w:val="24"/>
                <w:szCs w:val="24"/>
                <w:lang w:val="en-GB"/>
              </w:rPr>
              <w:t>reasons</w:t>
            </w:r>
            <w:r w:rsidR="00E65227" w:rsidRPr="00E65227">
              <w:rPr>
                <w:rStyle w:val="FootnoteReference"/>
                <w:rFonts w:ascii="Times New Roman" w:hAnsi="Times New Roman"/>
                <w:sz w:val="24"/>
                <w:szCs w:val="24"/>
                <w:lang w:val="en-GB"/>
              </w:rPr>
              <w:fldChar w:fldCharType="begin"/>
            </w:r>
            <w:r w:rsidR="00E65227" w:rsidRPr="00E65227">
              <w:rPr>
                <w:rStyle w:val="FootnoteReference"/>
                <w:rFonts w:ascii="Times New Roman" w:hAnsi="Times New Roman"/>
                <w:sz w:val="24"/>
                <w:szCs w:val="24"/>
                <w:lang w:val="en-GB"/>
              </w:rPr>
              <w:instrText xml:space="preserve"> NOTEREF _Ref75508349 \h  \* MERGEFORMAT </w:instrText>
            </w:r>
            <w:r w:rsidR="00E65227" w:rsidRPr="00E65227">
              <w:rPr>
                <w:rStyle w:val="FootnoteReference"/>
                <w:rFonts w:ascii="Times New Roman" w:hAnsi="Times New Roman"/>
                <w:sz w:val="24"/>
                <w:szCs w:val="24"/>
                <w:lang w:val="en-GB"/>
              </w:rPr>
            </w:r>
            <w:r w:rsidR="00E65227" w:rsidRPr="00E65227">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55</w:t>
            </w:r>
            <w:r w:rsidR="00E65227" w:rsidRPr="00E65227">
              <w:rPr>
                <w:rStyle w:val="FootnoteReference"/>
                <w:rFonts w:ascii="Times New Roman" w:hAnsi="Times New Roman"/>
                <w:sz w:val="24"/>
                <w:szCs w:val="24"/>
                <w:lang w:val="en-GB"/>
              </w:rPr>
              <w:fldChar w:fldCharType="end"/>
            </w:r>
            <w:r w:rsidRPr="00501009">
              <w:rPr>
                <w:rFonts w:ascii="Times New Roman" w:hAnsi="Times New Roman"/>
                <w:sz w:val="24"/>
                <w:szCs w:val="24"/>
                <w:lang w:val="en-GB"/>
              </w:rPr>
              <w:t xml:space="preserve"> for </w:t>
            </w:r>
            <w:r w:rsidR="00296C48">
              <w:rPr>
                <w:rFonts w:ascii="Times New Roman" w:hAnsi="Times New Roman"/>
                <w:sz w:val="24"/>
                <w:szCs w:val="24"/>
                <w:lang w:val="en-GB"/>
              </w:rPr>
              <w:t xml:space="preserve">authenticating via </w:t>
            </w:r>
            <w:r w:rsidRPr="00501009">
              <w:rPr>
                <w:rFonts w:ascii="Times New Roman" w:hAnsi="Times New Roman"/>
                <w:sz w:val="24"/>
                <w:szCs w:val="24"/>
                <w:lang w:val="en-GB"/>
              </w:rPr>
              <w:t xml:space="preserve">non-SCA. </w:t>
            </w:r>
            <w:r w:rsidR="00D44B68" w:rsidRPr="00501009">
              <w:rPr>
                <w:rFonts w:ascii="Times New Roman" w:hAnsi="Times New Roman"/>
                <w:sz w:val="24"/>
                <w:szCs w:val="24"/>
                <w:lang w:val="en-GB"/>
              </w:rPr>
              <w:t>‘Trusted beneficiaries’, ‘R</w:t>
            </w:r>
            <w:r w:rsidRPr="00501009">
              <w:rPr>
                <w:rFonts w:ascii="Times New Roman" w:hAnsi="Times New Roman"/>
                <w:sz w:val="24"/>
                <w:szCs w:val="24"/>
                <w:lang w:val="en-GB"/>
              </w:rPr>
              <w:t>ecurring transaction</w:t>
            </w:r>
            <w:r w:rsidR="00D44B68" w:rsidRPr="00501009">
              <w:rPr>
                <w:rFonts w:ascii="Times New Roman" w:hAnsi="Times New Roman"/>
                <w:sz w:val="24"/>
                <w:szCs w:val="24"/>
                <w:lang w:val="en-GB"/>
              </w:rPr>
              <w:t>’, ‘Contactless low</w:t>
            </w:r>
            <w:r w:rsidR="00D44B68">
              <w:rPr>
                <w:rFonts w:ascii="Times New Roman" w:hAnsi="Times New Roman"/>
                <w:sz w:val="24"/>
                <w:szCs w:val="24"/>
                <w:lang w:val="en-GB"/>
              </w:rPr>
              <w:t xml:space="preserve"> value’, ‘U</w:t>
            </w:r>
            <w:r>
              <w:rPr>
                <w:rFonts w:ascii="Times New Roman" w:hAnsi="Times New Roman"/>
                <w:sz w:val="24"/>
                <w:szCs w:val="24"/>
                <w:lang w:val="en-GB"/>
              </w:rPr>
              <w:t>nattended terminals for transpo</w:t>
            </w:r>
            <w:r w:rsidR="00D44B68">
              <w:rPr>
                <w:rFonts w:ascii="Times New Roman" w:hAnsi="Times New Roman"/>
                <w:sz w:val="24"/>
                <w:szCs w:val="24"/>
                <w:lang w:val="en-GB"/>
              </w:rPr>
              <w:t>rt fares or parking fees’ and ‘O</w:t>
            </w:r>
            <w:r>
              <w:rPr>
                <w:rFonts w:ascii="Times New Roman" w:hAnsi="Times New Roman"/>
                <w:sz w:val="24"/>
                <w:szCs w:val="24"/>
                <w:lang w:val="en-GB"/>
              </w:rPr>
              <w:t xml:space="preserve">ther’ are </w:t>
            </w:r>
            <w:r w:rsidR="00165215">
              <w:rPr>
                <w:rFonts w:ascii="Times New Roman" w:hAnsi="Times New Roman"/>
                <w:sz w:val="24"/>
                <w:szCs w:val="24"/>
                <w:lang w:val="en-GB"/>
              </w:rPr>
              <w:t xml:space="preserve">the </w:t>
            </w:r>
            <w:r>
              <w:rPr>
                <w:rFonts w:ascii="Times New Roman" w:hAnsi="Times New Roman"/>
                <w:sz w:val="24"/>
                <w:szCs w:val="24"/>
                <w:lang w:val="en-GB"/>
              </w:rPr>
              <w:t>reasons for authenticating via non-SCA under a non-</w:t>
            </w:r>
            <w:r w:rsidR="00D44B68">
              <w:rPr>
                <w:rFonts w:ascii="Times New Roman" w:hAnsi="Times New Roman"/>
                <w:sz w:val="24"/>
                <w:szCs w:val="24"/>
                <w:lang w:val="en-GB"/>
              </w:rPr>
              <w:t>remote payment channel, while ‘Low value’, ‘Trusted beneficiaries’, ‘Recurring transaction’, ‘S</w:t>
            </w:r>
            <w:r>
              <w:rPr>
                <w:rFonts w:ascii="Times New Roman" w:hAnsi="Times New Roman"/>
                <w:sz w:val="24"/>
                <w:szCs w:val="24"/>
                <w:lang w:val="en-GB"/>
              </w:rPr>
              <w:t>ecure corporate paym</w:t>
            </w:r>
            <w:r w:rsidR="00D44B68">
              <w:rPr>
                <w:rFonts w:ascii="Times New Roman" w:hAnsi="Times New Roman"/>
                <w:sz w:val="24"/>
                <w:szCs w:val="24"/>
                <w:lang w:val="en-GB"/>
              </w:rPr>
              <w:t>ent processes and protocols’, ‘Transaction risk analysis’, ‘M</w:t>
            </w:r>
            <w:r>
              <w:rPr>
                <w:rFonts w:ascii="Times New Roman" w:hAnsi="Times New Roman"/>
                <w:sz w:val="24"/>
                <w:szCs w:val="24"/>
                <w:lang w:val="en-GB"/>
              </w:rPr>
              <w:t>erchant initiated transactions’</w:t>
            </w:r>
            <w:bookmarkStart w:id="46" w:name="_Ref72001237"/>
            <w:r w:rsidRPr="00760F3B">
              <w:rPr>
                <w:rStyle w:val="FootnoteReference"/>
                <w:rFonts w:ascii="Times New Roman" w:hAnsi="Times New Roman"/>
                <w:sz w:val="24"/>
                <w:szCs w:val="24"/>
                <w:lang w:val="en-GB"/>
              </w:rPr>
              <w:footnoteReference w:id="73"/>
            </w:r>
            <w:bookmarkEnd w:id="46"/>
            <w:r w:rsidR="00D44B68">
              <w:rPr>
                <w:rFonts w:ascii="Times New Roman" w:hAnsi="Times New Roman"/>
                <w:sz w:val="24"/>
                <w:szCs w:val="24"/>
                <w:lang w:val="en-GB"/>
              </w:rPr>
              <w:t xml:space="preserve"> and ‘O</w:t>
            </w:r>
            <w:r>
              <w:rPr>
                <w:rFonts w:ascii="Times New Roman" w:hAnsi="Times New Roman"/>
                <w:sz w:val="24"/>
                <w:szCs w:val="24"/>
                <w:lang w:val="en-GB"/>
              </w:rPr>
              <w:t xml:space="preserve">ther’ are </w:t>
            </w:r>
            <w:r w:rsidR="00165215">
              <w:rPr>
                <w:rFonts w:ascii="Times New Roman" w:hAnsi="Times New Roman"/>
                <w:sz w:val="24"/>
                <w:szCs w:val="24"/>
                <w:lang w:val="en-GB"/>
              </w:rPr>
              <w:t xml:space="preserve">the </w:t>
            </w:r>
            <w:r>
              <w:rPr>
                <w:rFonts w:ascii="Times New Roman" w:hAnsi="Times New Roman"/>
                <w:sz w:val="24"/>
                <w:szCs w:val="24"/>
                <w:lang w:val="en-GB"/>
              </w:rPr>
              <w:t xml:space="preserve">reasons for </w:t>
            </w:r>
            <w:r w:rsidR="00296C48">
              <w:rPr>
                <w:rFonts w:ascii="Times New Roman" w:hAnsi="Times New Roman"/>
                <w:sz w:val="24"/>
                <w:szCs w:val="24"/>
                <w:lang w:val="en-GB"/>
              </w:rPr>
              <w:t xml:space="preserve">authenticating via </w:t>
            </w:r>
            <w:r>
              <w:rPr>
                <w:rFonts w:ascii="Times New Roman" w:hAnsi="Times New Roman"/>
                <w:sz w:val="24"/>
                <w:szCs w:val="24"/>
                <w:lang w:val="en-GB"/>
              </w:rPr>
              <w:t>non-SCA under remote payment channel. These sub-categories are mutually exclusive.</w:t>
            </w:r>
          </w:p>
          <w:p w14:paraId="24EF7A2E" w14:textId="2AE0EF0A" w:rsidR="00363D23" w:rsidRPr="00363D23" w:rsidRDefault="00CF2ADD" w:rsidP="00100E67">
            <w:pPr>
              <w:spacing w:after="120" w:line="360" w:lineRule="auto"/>
              <w:jc w:val="both"/>
              <w:rPr>
                <w:rFonts w:ascii="Times New Roman" w:hAnsi="Times New Roman"/>
                <w:sz w:val="24"/>
                <w:szCs w:val="24"/>
                <w:lang w:val="en-GB"/>
              </w:rPr>
            </w:pPr>
            <w:r>
              <w:rPr>
                <w:rFonts w:ascii="Times New Roman" w:hAnsi="Times New Roman"/>
                <w:sz w:val="24"/>
                <w:szCs w:val="24"/>
                <w:lang w:val="en-GB"/>
              </w:rPr>
              <w:t>An</w:t>
            </w:r>
            <w:r w:rsidR="00363D23">
              <w:rPr>
                <w:rFonts w:ascii="Times New Roman" w:hAnsi="Times New Roman"/>
                <w:sz w:val="24"/>
                <w:szCs w:val="24"/>
                <w:lang w:val="en-GB"/>
              </w:rPr>
              <w:t xml:space="preserve"> example of authentication via SCA for card-based payment transactions initiated electronically via non-remote payment channel</w:t>
            </w:r>
            <w:r w:rsidR="0077294E">
              <w:rPr>
                <w:rFonts w:ascii="Times New Roman" w:hAnsi="Times New Roman"/>
                <w:sz w:val="24"/>
                <w:szCs w:val="24"/>
                <w:lang w:val="en-GB"/>
              </w:rPr>
              <w:t xml:space="preserve"> is ‘Chip and Pin’</w:t>
            </w:r>
            <w:r w:rsidR="00363D23">
              <w:rPr>
                <w:rFonts w:ascii="Times New Roman" w:hAnsi="Times New Roman"/>
                <w:sz w:val="24"/>
                <w:szCs w:val="24"/>
                <w:lang w:val="en-GB"/>
              </w:rPr>
              <w:t xml:space="preserve">, whereas an example of authentication via SCA for card-based payment transactions initiated electronically via remote payment channel is </w:t>
            </w:r>
            <w:r>
              <w:rPr>
                <w:rFonts w:ascii="Times New Roman" w:hAnsi="Times New Roman"/>
                <w:sz w:val="24"/>
                <w:szCs w:val="24"/>
                <w:lang w:val="en-GB"/>
              </w:rPr>
              <w:t>‘</w:t>
            </w:r>
            <w:hyperlink r:id="rId11" w:tgtFrame="_blank" w:history="1">
              <w:r w:rsidR="00363D23" w:rsidRPr="0077294E">
                <w:rPr>
                  <w:rFonts w:ascii="Times New Roman" w:hAnsi="Times New Roman"/>
                  <w:sz w:val="24"/>
                  <w:szCs w:val="24"/>
                  <w:lang w:val="en-GB"/>
                </w:rPr>
                <w:t>3D Secure</w:t>
              </w:r>
            </w:hyperlink>
            <w:r>
              <w:rPr>
                <w:rFonts w:ascii="Times New Roman" w:hAnsi="Times New Roman"/>
                <w:sz w:val="24"/>
                <w:szCs w:val="24"/>
                <w:lang w:val="en-GB"/>
              </w:rPr>
              <w:t>’</w:t>
            </w:r>
            <w:r w:rsidR="00363D23" w:rsidRPr="00CF2ADD">
              <w:rPr>
                <w:rFonts w:ascii="Times New Roman" w:hAnsi="Times New Roman"/>
                <w:sz w:val="24"/>
                <w:szCs w:val="24"/>
                <w:lang w:val="en-GB"/>
              </w:rPr>
              <w:t>.</w:t>
            </w:r>
          </w:p>
          <w:p w14:paraId="122EF594" w14:textId="77777777" w:rsidR="00CE62C3" w:rsidRDefault="00184EE3" w:rsidP="00184EE3">
            <w:pPr>
              <w:spacing w:after="120" w:line="360" w:lineRule="auto"/>
              <w:jc w:val="both"/>
              <w:rPr>
                <w:rFonts w:ascii="Times New Roman" w:hAnsi="Times New Roman"/>
                <w:sz w:val="24"/>
                <w:szCs w:val="24"/>
                <w:u w:val="single"/>
                <w:lang w:val="en-GB"/>
              </w:rPr>
            </w:pPr>
            <w:r w:rsidRPr="003C42A7">
              <w:rPr>
                <w:rFonts w:ascii="Times New Roman" w:hAnsi="Times New Roman"/>
                <w:sz w:val="24"/>
                <w:szCs w:val="24"/>
                <w:u w:val="single"/>
                <w:lang w:val="en-GB"/>
              </w:rPr>
              <w:t xml:space="preserve">Processed by </w:t>
            </w:r>
            <w:r>
              <w:rPr>
                <w:rFonts w:ascii="Times New Roman" w:hAnsi="Times New Roman"/>
                <w:sz w:val="24"/>
                <w:szCs w:val="24"/>
                <w:u w:val="single"/>
                <w:lang w:val="en-GB"/>
              </w:rPr>
              <w:t>payment card</w:t>
            </w:r>
            <w:r w:rsidRPr="003C42A7">
              <w:rPr>
                <w:rFonts w:ascii="Times New Roman" w:hAnsi="Times New Roman"/>
                <w:sz w:val="24"/>
                <w:szCs w:val="24"/>
                <w:u w:val="single"/>
                <w:lang w:val="en-GB"/>
              </w:rPr>
              <w:t xml:space="preserve"> schemes</w:t>
            </w:r>
            <w:r w:rsidR="003D49DD">
              <w:rPr>
                <w:rFonts w:ascii="Times New Roman" w:hAnsi="Times New Roman"/>
                <w:sz w:val="24"/>
                <w:szCs w:val="24"/>
                <w:u w:val="single"/>
                <w:lang w:val="en-GB"/>
              </w:rPr>
              <w:t xml:space="preserve"> (PCS)</w:t>
            </w:r>
          </w:p>
          <w:p w14:paraId="2E8FF174" w14:textId="1B4695DB" w:rsidR="003D49DD" w:rsidRDefault="00CE62C3" w:rsidP="00184EE3">
            <w:pPr>
              <w:spacing w:after="120" w:line="360" w:lineRule="auto"/>
              <w:jc w:val="both"/>
              <w:rPr>
                <w:rFonts w:ascii="Times New Roman" w:hAnsi="Times New Roman"/>
                <w:sz w:val="24"/>
                <w:szCs w:val="24"/>
                <w:lang w:val="en-GB"/>
              </w:rPr>
            </w:pPr>
            <w:r>
              <w:rPr>
                <w:rFonts w:ascii="Times New Roman" w:hAnsi="Times New Roman"/>
                <w:sz w:val="24"/>
                <w:szCs w:val="24"/>
                <w:lang w:val="en-GB"/>
              </w:rPr>
              <w:t>Under each payment channel (i.e. remote and non-remote), t</w:t>
            </w:r>
            <w:r w:rsidR="00CA2BB5">
              <w:rPr>
                <w:rFonts w:ascii="Times New Roman" w:hAnsi="Times New Roman"/>
                <w:sz w:val="24"/>
                <w:szCs w:val="24"/>
                <w:lang w:val="en-GB"/>
              </w:rPr>
              <w:t xml:space="preserve">ransactions are </w:t>
            </w:r>
            <w:r>
              <w:rPr>
                <w:rFonts w:ascii="Times New Roman" w:hAnsi="Times New Roman"/>
                <w:sz w:val="24"/>
                <w:szCs w:val="24"/>
                <w:lang w:val="en-GB"/>
              </w:rPr>
              <w:t xml:space="preserve">further broken into each </w:t>
            </w:r>
            <w:r w:rsidR="003D49DD">
              <w:rPr>
                <w:rFonts w:ascii="Times New Roman" w:hAnsi="Times New Roman"/>
                <w:sz w:val="24"/>
                <w:szCs w:val="24"/>
                <w:lang w:val="en-GB"/>
              </w:rPr>
              <w:t>PCS</w:t>
            </w:r>
            <w:r w:rsidR="003A0F96" w:rsidRPr="003A0F96">
              <w:rPr>
                <w:rStyle w:val="FootnoteReference"/>
                <w:rFonts w:ascii="Times New Roman" w:hAnsi="Times New Roman"/>
                <w:sz w:val="24"/>
                <w:szCs w:val="24"/>
                <w:lang w:val="en-GB"/>
              </w:rPr>
              <w:fldChar w:fldCharType="begin"/>
            </w:r>
            <w:r w:rsidR="003A0F96" w:rsidRPr="003A0F96">
              <w:rPr>
                <w:rStyle w:val="FootnoteReference"/>
                <w:rFonts w:ascii="Times New Roman" w:hAnsi="Times New Roman"/>
                <w:sz w:val="24"/>
                <w:szCs w:val="24"/>
                <w:lang w:val="en-GB"/>
              </w:rPr>
              <w:instrText xml:space="preserve"> NOTEREF _Ref75439449 \h  \* MERGEFORMAT </w:instrText>
            </w:r>
            <w:r w:rsidR="003A0F96" w:rsidRPr="003A0F96">
              <w:rPr>
                <w:rStyle w:val="FootnoteReference"/>
                <w:rFonts w:ascii="Times New Roman" w:hAnsi="Times New Roman"/>
                <w:sz w:val="24"/>
                <w:szCs w:val="24"/>
                <w:lang w:val="en-GB"/>
              </w:rPr>
            </w:r>
            <w:r w:rsidR="003A0F96" w:rsidRPr="003A0F96">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23</w:t>
            </w:r>
            <w:r w:rsidR="003A0F96" w:rsidRPr="003A0F96">
              <w:rPr>
                <w:rStyle w:val="FootnoteReference"/>
                <w:rFonts w:ascii="Times New Roman" w:hAnsi="Times New Roman"/>
                <w:sz w:val="24"/>
                <w:szCs w:val="24"/>
                <w:lang w:val="en-GB"/>
              </w:rPr>
              <w:fldChar w:fldCharType="end"/>
            </w:r>
            <w:r w:rsidR="005A1764">
              <w:rPr>
                <w:rFonts w:ascii="Times New Roman" w:hAnsi="Times New Roman"/>
                <w:sz w:val="24"/>
                <w:szCs w:val="24"/>
                <w:lang w:val="en-GB"/>
              </w:rPr>
              <w:t xml:space="preserve"> (</w:t>
            </w:r>
            <w:r w:rsidR="00B96A5A">
              <w:rPr>
                <w:rFonts w:ascii="Times New Roman" w:hAnsi="Times New Roman"/>
                <w:sz w:val="24"/>
                <w:szCs w:val="24"/>
                <w:lang w:val="en-GB"/>
              </w:rPr>
              <w:t xml:space="preserve">i.e. </w:t>
            </w:r>
            <w:r w:rsidR="005A1764">
              <w:rPr>
                <w:rFonts w:ascii="Times New Roman" w:hAnsi="Times New Roman"/>
                <w:sz w:val="24"/>
                <w:szCs w:val="24"/>
                <w:lang w:val="en-GB"/>
              </w:rPr>
              <w:t>VISA, Master Card, American Express, Diners</w:t>
            </w:r>
            <w:r w:rsidR="006E2FC4">
              <w:rPr>
                <w:rFonts w:ascii="Times New Roman" w:hAnsi="Times New Roman"/>
                <w:sz w:val="24"/>
                <w:szCs w:val="24"/>
                <w:lang w:val="en-GB"/>
              </w:rPr>
              <w:t xml:space="preserve"> Club</w:t>
            </w:r>
            <w:r w:rsidR="00B96A5A">
              <w:rPr>
                <w:rFonts w:ascii="Times New Roman" w:hAnsi="Times New Roman"/>
                <w:sz w:val="24"/>
                <w:szCs w:val="24"/>
                <w:lang w:val="en-GB"/>
              </w:rPr>
              <w:t>, China Union Pay, Discover and</w:t>
            </w:r>
            <w:r w:rsidR="005A1764">
              <w:rPr>
                <w:rFonts w:ascii="Times New Roman" w:hAnsi="Times New Roman"/>
                <w:sz w:val="24"/>
                <w:szCs w:val="24"/>
                <w:lang w:val="en-GB"/>
              </w:rPr>
              <w:t xml:space="preserve"> JCB)</w:t>
            </w:r>
            <w:r>
              <w:rPr>
                <w:rFonts w:ascii="Times New Roman" w:hAnsi="Times New Roman"/>
                <w:sz w:val="24"/>
                <w:szCs w:val="24"/>
                <w:lang w:val="en-GB"/>
              </w:rPr>
              <w:t xml:space="preserve">. Furthermore, </w:t>
            </w:r>
            <w:r w:rsidR="00823B94">
              <w:rPr>
                <w:rFonts w:ascii="Times New Roman" w:hAnsi="Times New Roman"/>
                <w:sz w:val="24"/>
                <w:szCs w:val="24"/>
                <w:lang w:val="en-GB"/>
              </w:rPr>
              <w:t xml:space="preserve">transactions are </w:t>
            </w:r>
            <w:r w:rsidR="00B96A5A">
              <w:rPr>
                <w:rFonts w:ascii="Times New Roman" w:hAnsi="Times New Roman"/>
                <w:sz w:val="24"/>
                <w:szCs w:val="24"/>
                <w:lang w:val="en-GB"/>
              </w:rPr>
              <w:t>broken into</w:t>
            </w:r>
            <w:r>
              <w:rPr>
                <w:rFonts w:ascii="Times New Roman" w:hAnsi="Times New Roman"/>
                <w:sz w:val="24"/>
                <w:szCs w:val="24"/>
                <w:lang w:val="en-GB"/>
              </w:rPr>
              <w:t xml:space="preserve"> each </w:t>
            </w:r>
            <w:r w:rsidR="00184EE3" w:rsidRPr="00760F3B">
              <w:rPr>
                <w:rFonts w:ascii="Times New Roman" w:hAnsi="Times New Roman"/>
                <w:sz w:val="24"/>
                <w:szCs w:val="24"/>
                <w:lang w:val="en-GB"/>
              </w:rPr>
              <w:t>card function</w:t>
            </w:r>
            <w:r w:rsidR="009D27FC">
              <w:rPr>
                <w:rFonts w:ascii="Times New Roman" w:hAnsi="Times New Roman"/>
                <w:sz w:val="24"/>
                <w:szCs w:val="24"/>
                <w:lang w:val="en-GB"/>
              </w:rPr>
              <w:t xml:space="preserve"> (i.e. </w:t>
            </w:r>
            <w:r w:rsidR="009D27FC" w:rsidRPr="003A0F96">
              <w:rPr>
                <w:rFonts w:ascii="Times New Roman" w:hAnsi="Times New Roman"/>
                <w:sz w:val="24"/>
                <w:szCs w:val="24"/>
                <w:lang w:val="en-GB"/>
              </w:rPr>
              <w:t>debit</w:t>
            </w:r>
            <w:r w:rsidR="003A0F96" w:rsidRPr="003A0F96">
              <w:rPr>
                <w:rStyle w:val="FootnoteReference"/>
                <w:rFonts w:ascii="Times New Roman" w:hAnsi="Times New Roman"/>
                <w:sz w:val="24"/>
                <w:szCs w:val="24"/>
                <w:lang w:val="en-GB"/>
              </w:rPr>
              <w:fldChar w:fldCharType="begin"/>
            </w:r>
            <w:r w:rsidR="003A0F96" w:rsidRPr="003A0F96">
              <w:rPr>
                <w:rStyle w:val="FootnoteReference"/>
                <w:rFonts w:ascii="Times New Roman" w:hAnsi="Times New Roman"/>
                <w:sz w:val="24"/>
                <w:szCs w:val="24"/>
                <w:lang w:val="en-GB"/>
              </w:rPr>
              <w:instrText xml:space="preserve"> NOTEREF _Ref75439911 \h  \* MERGEFORMAT </w:instrText>
            </w:r>
            <w:r w:rsidR="003A0F96" w:rsidRPr="003A0F96">
              <w:rPr>
                <w:rStyle w:val="FootnoteReference"/>
                <w:rFonts w:ascii="Times New Roman" w:hAnsi="Times New Roman"/>
                <w:sz w:val="24"/>
                <w:szCs w:val="24"/>
                <w:lang w:val="en-GB"/>
              </w:rPr>
            </w:r>
            <w:r w:rsidR="003A0F96" w:rsidRPr="003A0F96">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20</w:t>
            </w:r>
            <w:r w:rsidR="003A0F96" w:rsidRPr="003A0F96">
              <w:rPr>
                <w:rStyle w:val="FootnoteReference"/>
                <w:rFonts w:ascii="Times New Roman" w:hAnsi="Times New Roman"/>
                <w:sz w:val="24"/>
                <w:szCs w:val="24"/>
                <w:lang w:val="en-GB"/>
              </w:rPr>
              <w:fldChar w:fldCharType="end"/>
            </w:r>
            <w:r w:rsidR="009D27FC" w:rsidRPr="003A0F96">
              <w:rPr>
                <w:rFonts w:ascii="Times New Roman" w:hAnsi="Times New Roman"/>
                <w:sz w:val="24"/>
                <w:szCs w:val="24"/>
                <w:lang w:val="en-GB"/>
              </w:rPr>
              <w:t>, delayed debit</w:t>
            </w:r>
            <w:r w:rsidR="003A0F96" w:rsidRPr="003A0F96">
              <w:rPr>
                <w:rStyle w:val="FootnoteReference"/>
                <w:rFonts w:ascii="Times New Roman" w:hAnsi="Times New Roman"/>
                <w:sz w:val="24"/>
                <w:szCs w:val="24"/>
                <w:lang w:val="en-GB"/>
              </w:rPr>
              <w:fldChar w:fldCharType="begin"/>
            </w:r>
            <w:r w:rsidR="003A0F96" w:rsidRPr="003A0F96">
              <w:rPr>
                <w:rStyle w:val="FootnoteReference"/>
                <w:rFonts w:ascii="Times New Roman" w:hAnsi="Times New Roman"/>
                <w:sz w:val="24"/>
                <w:szCs w:val="24"/>
                <w:lang w:val="en-GB"/>
              </w:rPr>
              <w:instrText xml:space="preserve"> NOTEREF _Ref75439932 \h  \* MERGEFORMAT </w:instrText>
            </w:r>
            <w:r w:rsidR="003A0F96" w:rsidRPr="003A0F96">
              <w:rPr>
                <w:rStyle w:val="FootnoteReference"/>
                <w:rFonts w:ascii="Times New Roman" w:hAnsi="Times New Roman"/>
                <w:sz w:val="24"/>
                <w:szCs w:val="24"/>
                <w:lang w:val="en-GB"/>
              </w:rPr>
            </w:r>
            <w:r w:rsidR="003A0F96" w:rsidRPr="003A0F96">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21</w:t>
            </w:r>
            <w:r w:rsidR="003A0F96" w:rsidRPr="003A0F96">
              <w:rPr>
                <w:rStyle w:val="FootnoteReference"/>
                <w:rFonts w:ascii="Times New Roman" w:hAnsi="Times New Roman"/>
                <w:sz w:val="24"/>
                <w:szCs w:val="24"/>
                <w:lang w:val="en-GB"/>
              </w:rPr>
              <w:fldChar w:fldCharType="end"/>
            </w:r>
            <w:r w:rsidR="009D27FC" w:rsidRPr="003A0F96">
              <w:rPr>
                <w:rFonts w:ascii="Times New Roman" w:hAnsi="Times New Roman"/>
                <w:sz w:val="24"/>
                <w:szCs w:val="24"/>
                <w:lang w:val="en-GB"/>
              </w:rPr>
              <w:t xml:space="preserve"> and credit</w:t>
            </w:r>
            <w:r w:rsidR="003A0F96" w:rsidRPr="003A0F96">
              <w:rPr>
                <w:rStyle w:val="FootnoteReference"/>
                <w:rFonts w:ascii="Times New Roman" w:hAnsi="Times New Roman"/>
                <w:sz w:val="24"/>
                <w:szCs w:val="24"/>
                <w:lang w:val="en-GB"/>
              </w:rPr>
              <w:fldChar w:fldCharType="begin"/>
            </w:r>
            <w:r w:rsidR="003A0F96" w:rsidRPr="003A0F96">
              <w:rPr>
                <w:rStyle w:val="FootnoteReference"/>
                <w:rFonts w:ascii="Times New Roman" w:hAnsi="Times New Roman"/>
                <w:sz w:val="24"/>
                <w:szCs w:val="24"/>
                <w:lang w:val="en-GB"/>
              </w:rPr>
              <w:instrText xml:space="preserve"> NOTEREF _Ref75439942 \h  \* MERGEFORMAT </w:instrText>
            </w:r>
            <w:r w:rsidR="003A0F96" w:rsidRPr="003A0F96">
              <w:rPr>
                <w:rStyle w:val="FootnoteReference"/>
                <w:rFonts w:ascii="Times New Roman" w:hAnsi="Times New Roman"/>
                <w:sz w:val="24"/>
                <w:szCs w:val="24"/>
                <w:lang w:val="en-GB"/>
              </w:rPr>
            </w:r>
            <w:r w:rsidR="003A0F96" w:rsidRPr="003A0F96">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22</w:t>
            </w:r>
            <w:r w:rsidR="003A0F96" w:rsidRPr="003A0F96">
              <w:rPr>
                <w:rStyle w:val="FootnoteReference"/>
                <w:rFonts w:ascii="Times New Roman" w:hAnsi="Times New Roman"/>
                <w:sz w:val="24"/>
                <w:szCs w:val="24"/>
                <w:lang w:val="en-GB"/>
              </w:rPr>
              <w:fldChar w:fldCharType="end"/>
            </w:r>
            <w:r w:rsidR="009D27FC" w:rsidRPr="003A0F96">
              <w:rPr>
                <w:rStyle w:val="FootnoteReference"/>
                <w:rFonts w:ascii="Times New Roman" w:hAnsi="Times New Roman"/>
                <w:sz w:val="24"/>
                <w:szCs w:val="24"/>
                <w:lang w:val="en-GB"/>
              </w:rPr>
              <w:t>)</w:t>
            </w:r>
            <w:r w:rsidRPr="00B96A5A">
              <w:rPr>
                <w:rFonts w:ascii="Times New Roman" w:hAnsi="Times New Roman"/>
                <w:sz w:val="24"/>
                <w:szCs w:val="24"/>
                <w:lang w:val="en-GB"/>
              </w:rPr>
              <w:t xml:space="preserve"> and</w:t>
            </w:r>
            <w:r>
              <w:rPr>
                <w:rFonts w:ascii="Times New Roman" w:hAnsi="Times New Roman"/>
                <w:sz w:val="24"/>
                <w:szCs w:val="24"/>
                <w:lang w:val="en-GB"/>
              </w:rPr>
              <w:t xml:space="preserve"> e</w:t>
            </w:r>
            <w:r w:rsidR="00857D69">
              <w:rPr>
                <w:rFonts w:ascii="Times New Roman" w:hAnsi="Times New Roman"/>
                <w:sz w:val="24"/>
                <w:szCs w:val="24"/>
                <w:lang w:val="en-GB"/>
              </w:rPr>
              <w:t>ach card function is further broken down into the type of the card</w:t>
            </w:r>
            <w:r>
              <w:rPr>
                <w:rFonts w:ascii="Times New Roman" w:hAnsi="Times New Roman"/>
                <w:sz w:val="24"/>
                <w:szCs w:val="24"/>
                <w:lang w:val="en-GB"/>
              </w:rPr>
              <w:t xml:space="preserve"> (i.e. consumer and commercial). </w:t>
            </w:r>
          </w:p>
          <w:p w14:paraId="632EBBF1" w14:textId="77777777" w:rsidR="003D49DD" w:rsidRDefault="003D49DD" w:rsidP="003D49DD">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For </w:t>
            </w:r>
            <w:r w:rsidRPr="0060127A">
              <w:rPr>
                <w:rFonts w:ascii="Times New Roman" w:hAnsi="Times New Roman"/>
                <w:sz w:val="24"/>
                <w:szCs w:val="24"/>
                <w:lang w:val="en-GB"/>
              </w:rPr>
              <w:t xml:space="preserve">PCSs other than VISA and MasterCard, the Reporting Agents should select from the drop-down list the applicable PCS and include the </w:t>
            </w:r>
            <w:r w:rsidRPr="0060127A">
              <w:rPr>
                <w:rFonts w:ascii="Times New Roman" w:hAnsi="Times New Roman"/>
                <w:sz w:val="24"/>
                <w:szCs w:val="24"/>
                <w:lang w:val="en-GB"/>
              </w:rPr>
              <w:lastRenderedPageBreak/>
              <w:t>relevant information</w:t>
            </w:r>
            <w:r w:rsidR="0060127A">
              <w:rPr>
                <w:rFonts w:ascii="Times New Roman" w:hAnsi="Times New Roman"/>
                <w:sz w:val="24"/>
                <w:szCs w:val="24"/>
                <w:lang w:val="en-GB"/>
              </w:rPr>
              <w:t xml:space="preserve"> in excel-sheet ‘7.2.3’ and/ or ‘7.3.3’</w:t>
            </w:r>
            <w:r w:rsidRPr="0060127A">
              <w:rPr>
                <w:rFonts w:ascii="Times New Roman" w:hAnsi="Times New Roman"/>
                <w:sz w:val="24"/>
                <w:szCs w:val="24"/>
                <w:lang w:val="en-GB"/>
              </w:rPr>
              <w:t xml:space="preserve">. In case that information needs to be reported for more than 1 PSC (other than VISA and MasterCard), then the Reporting Agent should copy and </w:t>
            </w:r>
            <w:r w:rsidR="0060127A" w:rsidRPr="0060127A">
              <w:rPr>
                <w:rFonts w:ascii="Times New Roman" w:hAnsi="Times New Roman"/>
                <w:sz w:val="24"/>
                <w:szCs w:val="24"/>
                <w:lang w:val="en-GB"/>
              </w:rPr>
              <w:t xml:space="preserve">paste </w:t>
            </w:r>
            <w:r w:rsidR="0060127A">
              <w:rPr>
                <w:rFonts w:ascii="Times New Roman" w:hAnsi="Times New Roman"/>
                <w:sz w:val="24"/>
                <w:szCs w:val="24"/>
                <w:lang w:val="en-GB"/>
              </w:rPr>
              <w:t>excel-sheet</w:t>
            </w:r>
            <w:r w:rsidR="0060127A" w:rsidRPr="0060127A">
              <w:rPr>
                <w:rFonts w:ascii="Times New Roman" w:hAnsi="Times New Roman"/>
                <w:sz w:val="24"/>
                <w:szCs w:val="24"/>
                <w:lang w:val="en-GB"/>
              </w:rPr>
              <w:t xml:space="preserve"> ‘7.2.3’ and/or</w:t>
            </w:r>
            <w:r w:rsidRPr="0060127A">
              <w:rPr>
                <w:rFonts w:ascii="Times New Roman" w:hAnsi="Times New Roman"/>
                <w:sz w:val="24"/>
                <w:szCs w:val="24"/>
                <w:lang w:val="en-GB"/>
              </w:rPr>
              <w:t xml:space="preserve"> </w:t>
            </w:r>
            <w:r w:rsidR="0060127A" w:rsidRPr="0060127A">
              <w:rPr>
                <w:rFonts w:ascii="Times New Roman" w:hAnsi="Times New Roman"/>
                <w:sz w:val="24"/>
                <w:szCs w:val="24"/>
                <w:lang w:val="en-GB"/>
              </w:rPr>
              <w:t>‘</w:t>
            </w:r>
            <w:r w:rsidRPr="0060127A">
              <w:rPr>
                <w:rFonts w:ascii="Times New Roman" w:hAnsi="Times New Roman"/>
                <w:sz w:val="24"/>
                <w:szCs w:val="24"/>
                <w:lang w:val="en-GB"/>
              </w:rPr>
              <w:t>7.3.3</w:t>
            </w:r>
            <w:r w:rsidR="0060127A" w:rsidRPr="0060127A">
              <w:rPr>
                <w:rFonts w:ascii="Times New Roman" w:hAnsi="Times New Roman"/>
                <w:sz w:val="24"/>
                <w:szCs w:val="24"/>
                <w:lang w:val="en-GB"/>
              </w:rPr>
              <w:t>’</w:t>
            </w:r>
            <w:r w:rsidRPr="0060127A">
              <w:rPr>
                <w:rFonts w:ascii="Times New Roman" w:hAnsi="Times New Roman"/>
                <w:sz w:val="24"/>
                <w:szCs w:val="24"/>
                <w:lang w:val="en-GB"/>
              </w:rPr>
              <w:t xml:space="preserve"> to include information.</w:t>
            </w:r>
            <w:r>
              <w:rPr>
                <w:rFonts w:ascii="Times New Roman" w:hAnsi="Times New Roman"/>
                <w:sz w:val="24"/>
                <w:szCs w:val="24"/>
                <w:lang w:val="en-GB"/>
              </w:rPr>
              <w:t xml:space="preserve"> </w:t>
            </w:r>
          </w:p>
          <w:p w14:paraId="001DBD3A" w14:textId="40814F6B" w:rsidR="00F373AD" w:rsidRPr="00F162A8" w:rsidRDefault="00823B94" w:rsidP="00AE0172">
            <w:pPr>
              <w:spacing w:after="120" w:line="360" w:lineRule="auto"/>
              <w:jc w:val="both"/>
              <w:rPr>
                <w:rFonts w:ascii="Times New Roman" w:hAnsi="Times New Roman"/>
                <w:sz w:val="24"/>
                <w:szCs w:val="24"/>
                <w:lang w:val="en-GB"/>
              </w:rPr>
            </w:pPr>
            <w:r w:rsidRPr="00823B94">
              <w:rPr>
                <w:rFonts w:ascii="Times New Roman" w:hAnsi="Times New Roman"/>
                <w:sz w:val="24"/>
                <w:szCs w:val="24"/>
                <w:lang w:val="en-GB"/>
              </w:rPr>
              <w:t xml:space="preserve">Within each </w:t>
            </w:r>
            <w:r w:rsidR="003D49DD">
              <w:rPr>
                <w:rFonts w:ascii="Times New Roman" w:hAnsi="Times New Roman"/>
                <w:sz w:val="24"/>
                <w:szCs w:val="24"/>
                <w:lang w:val="en-GB"/>
              </w:rPr>
              <w:t>PCS</w:t>
            </w:r>
            <w:r w:rsidRPr="00823B94">
              <w:rPr>
                <w:rFonts w:ascii="Times New Roman" w:hAnsi="Times New Roman"/>
                <w:sz w:val="24"/>
                <w:szCs w:val="24"/>
                <w:lang w:val="en-GB"/>
              </w:rPr>
              <w:t xml:space="preserve">, transactions are broken down </w:t>
            </w:r>
            <w:r w:rsidR="008A21DB">
              <w:rPr>
                <w:rFonts w:ascii="Times New Roman" w:hAnsi="Times New Roman"/>
                <w:sz w:val="24"/>
                <w:szCs w:val="24"/>
                <w:lang w:val="en-GB"/>
              </w:rPr>
              <w:t>into those</w:t>
            </w:r>
            <w:r w:rsidRPr="00823B94">
              <w:rPr>
                <w:rFonts w:ascii="Times New Roman" w:hAnsi="Times New Roman"/>
                <w:sz w:val="24"/>
                <w:szCs w:val="24"/>
                <w:lang w:val="en-GB"/>
              </w:rPr>
              <w:t xml:space="preserve"> ‘authenticated via SCA’ and </w:t>
            </w:r>
            <w:r w:rsidR="008A21DB">
              <w:rPr>
                <w:rFonts w:ascii="Times New Roman" w:hAnsi="Times New Roman"/>
                <w:sz w:val="24"/>
                <w:szCs w:val="24"/>
                <w:lang w:val="en-GB"/>
              </w:rPr>
              <w:t xml:space="preserve">those </w:t>
            </w:r>
            <w:r w:rsidRPr="00823B94">
              <w:rPr>
                <w:rFonts w:ascii="Times New Roman" w:hAnsi="Times New Roman"/>
                <w:sz w:val="24"/>
                <w:szCs w:val="24"/>
                <w:lang w:val="en-GB"/>
              </w:rPr>
              <w:t>‘authenticated via non-SCA’.</w:t>
            </w:r>
            <w:r>
              <w:rPr>
                <w:rFonts w:ascii="Times New Roman" w:hAnsi="Times New Roman"/>
                <w:sz w:val="24"/>
                <w:szCs w:val="24"/>
                <w:lang w:val="en-GB"/>
              </w:rPr>
              <w:t xml:space="preserve"> These sub-categories are mutually exclusive.</w:t>
            </w:r>
          </w:p>
        </w:tc>
      </w:tr>
      <w:tr w:rsidR="005A4F71" w:rsidRPr="00F53249" w14:paraId="24FD0C40" w14:textId="77777777" w:rsidTr="00046D76">
        <w:trPr>
          <w:trHeight w:val="163"/>
        </w:trPr>
        <w:tc>
          <w:tcPr>
            <w:tcW w:w="9634" w:type="dxa"/>
            <w:gridSpan w:val="2"/>
            <w:shd w:val="clear" w:color="auto" w:fill="003199"/>
          </w:tcPr>
          <w:p w14:paraId="2B5CDFA8" w14:textId="0E0D890B" w:rsidR="005A4F71" w:rsidRPr="00760F3B" w:rsidRDefault="00CC4F19" w:rsidP="00FA680E">
            <w:pPr>
              <w:spacing w:after="120" w:line="360" w:lineRule="auto"/>
              <w:jc w:val="both"/>
              <w:rPr>
                <w:rFonts w:ascii="Times New Roman" w:hAnsi="Times New Roman"/>
                <w:b/>
                <w:bCs/>
                <w:color w:val="FF0000"/>
                <w:sz w:val="24"/>
                <w:szCs w:val="24"/>
                <w:lang w:val="en-GB"/>
              </w:rPr>
            </w:pPr>
            <w:r>
              <w:rPr>
                <w:rFonts w:ascii="Times New Roman" w:hAnsi="Times New Roman"/>
                <w:b/>
                <w:bCs/>
                <w:sz w:val="24"/>
                <w:szCs w:val="24"/>
                <w:lang w:val="en-GB"/>
              </w:rPr>
              <w:lastRenderedPageBreak/>
              <w:t>Card-Based Payment T</w:t>
            </w:r>
            <w:r w:rsidR="005A4F71" w:rsidRPr="00760F3B">
              <w:rPr>
                <w:rFonts w:ascii="Times New Roman" w:hAnsi="Times New Roman"/>
                <w:b/>
                <w:bCs/>
                <w:sz w:val="24"/>
                <w:szCs w:val="24"/>
                <w:lang w:val="en-GB"/>
              </w:rPr>
              <w:t xml:space="preserve">ransactions </w:t>
            </w:r>
            <w:r>
              <w:rPr>
                <w:rFonts w:ascii="Times New Roman" w:hAnsi="Times New Roman"/>
                <w:b/>
                <w:bCs/>
                <w:sz w:val="24"/>
                <w:szCs w:val="24"/>
                <w:lang w:val="en-GB"/>
              </w:rPr>
              <w:t>Received</w:t>
            </w:r>
            <w:r w:rsidR="000F1F24">
              <w:rPr>
                <w:rFonts w:ascii="Times New Roman" w:hAnsi="Times New Roman"/>
                <w:b/>
                <w:bCs/>
                <w:sz w:val="24"/>
                <w:szCs w:val="24"/>
                <w:lang w:val="en-GB"/>
              </w:rPr>
              <w:t xml:space="preserve"> </w:t>
            </w:r>
            <w:r w:rsidR="000F1F24" w:rsidRPr="000F1F24">
              <w:rPr>
                <w:rFonts w:ascii="Times New Roman" w:hAnsi="Times New Roman"/>
                <w:i/>
                <w:lang w:val="en-GB"/>
              </w:rPr>
              <w:t>(</w:t>
            </w:r>
            <w:r w:rsidR="000F1F24" w:rsidRPr="000F1F24">
              <w:rPr>
                <w:rFonts w:ascii="Times New Roman" w:hAnsi="Times New Roman"/>
                <w:i/>
                <w:sz w:val="24"/>
                <w:szCs w:val="24"/>
                <w:lang w:val="en-GB"/>
              </w:rPr>
              <w:t xml:space="preserve">refers to worksheets </w:t>
            </w:r>
            <w:r w:rsidR="00DE09D8">
              <w:rPr>
                <w:rFonts w:ascii="Times New Roman" w:hAnsi="Times New Roman"/>
                <w:i/>
                <w:sz w:val="24"/>
                <w:szCs w:val="24"/>
                <w:lang w:val="en-GB"/>
              </w:rPr>
              <w:t>12</w:t>
            </w:r>
            <w:r w:rsidR="00FA680E">
              <w:rPr>
                <w:rFonts w:ascii="Times New Roman" w:hAnsi="Times New Roman"/>
                <w:i/>
                <w:sz w:val="24"/>
                <w:szCs w:val="24"/>
                <w:lang w:val="en-GB"/>
              </w:rPr>
              <w:t>-12.6</w:t>
            </w:r>
            <w:r w:rsidR="000F1F24" w:rsidRPr="000F1F24">
              <w:rPr>
                <w:rFonts w:ascii="Times New Roman" w:hAnsi="Times New Roman"/>
                <w:i/>
                <w:lang w:val="en-GB"/>
              </w:rPr>
              <w:t>)</w:t>
            </w:r>
          </w:p>
        </w:tc>
      </w:tr>
      <w:tr w:rsidR="004A0E15" w:rsidRPr="00F53249" w14:paraId="6887E0C5" w14:textId="77777777" w:rsidTr="00046D76">
        <w:tc>
          <w:tcPr>
            <w:tcW w:w="2483" w:type="dxa"/>
          </w:tcPr>
          <w:p w14:paraId="1ACBC599" w14:textId="77777777" w:rsidR="004A0E15" w:rsidRPr="00FB6888" w:rsidRDefault="004A0E15" w:rsidP="003D1E63">
            <w:pPr>
              <w:spacing w:after="120" w:line="360" w:lineRule="auto"/>
              <w:rPr>
                <w:rFonts w:ascii="Times New Roman" w:hAnsi="Times New Roman"/>
                <w:b/>
                <w:sz w:val="24"/>
                <w:szCs w:val="24"/>
                <w:lang w:val="en-GB"/>
              </w:rPr>
            </w:pPr>
            <w:r w:rsidRPr="00FB6888">
              <w:rPr>
                <w:rFonts w:ascii="Times New Roman" w:hAnsi="Times New Roman"/>
                <w:b/>
                <w:sz w:val="24"/>
                <w:szCs w:val="24"/>
                <w:lang w:val="en-GB"/>
              </w:rPr>
              <w:t>Card-based payment transactions</w:t>
            </w:r>
          </w:p>
        </w:tc>
        <w:tc>
          <w:tcPr>
            <w:tcW w:w="7151" w:type="dxa"/>
          </w:tcPr>
          <w:p w14:paraId="166849F6" w14:textId="2976A109" w:rsidR="004A0E15" w:rsidRPr="00B96A5A" w:rsidRDefault="004A0E15" w:rsidP="004A0E15">
            <w:pPr>
              <w:spacing w:after="120" w:line="360" w:lineRule="auto"/>
              <w:jc w:val="both"/>
              <w:rPr>
                <w:rFonts w:ascii="Times New Roman" w:hAnsi="Times New Roman"/>
                <w:sz w:val="24"/>
                <w:szCs w:val="24"/>
                <w:lang w:val="en-GB"/>
              </w:rPr>
            </w:pPr>
            <w:r w:rsidRPr="00B96A5A">
              <w:rPr>
                <w:rFonts w:ascii="Times New Roman" w:hAnsi="Times New Roman"/>
                <w:sz w:val="24"/>
                <w:szCs w:val="24"/>
                <w:lang w:val="en-GB"/>
              </w:rPr>
              <w:t>Report the number and value of card-based payment transactions (except cards with an e-money function only)</w:t>
            </w:r>
            <w:r w:rsidR="00DE6551">
              <w:rPr>
                <w:rFonts w:ascii="Times New Roman" w:hAnsi="Times New Roman"/>
                <w:sz w:val="24"/>
                <w:szCs w:val="24"/>
                <w:lang w:val="en-GB"/>
              </w:rPr>
              <w:t xml:space="preserve"> received</w:t>
            </w:r>
            <w:r w:rsidRPr="00B96A5A">
              <w:rPr>
                <w:rFonts w:ascii="Times New Roman" w:hAnsi="Times New Roman"/>
                <w:sz w:val="24"/>
                <w:szCs w:val="24"/>
                <w:lang w:val="en-GB"/>
              </w:rPr>
              <w:t xml:space="preserve">, </w:t>
            </w:r>
            <w:r w:rsidR="00DE6551" w:rsidRPr="00DE6551">
              <w:rPr>
                <w:rFonts w:ascii="Times New Roman" w:hAnsi="Times New Roman"/>
                <w:sz w:val="24"/>
                <w:szCs w:val="24"/>
                <w:lang w:val="en-GB"/>
              </w:rPr>
              <w:t>if acting on behalf of the payee, i.e. receiving the funds.</w:t>
            </w:r>
          </w:p>
          <w:p w14:paraId="39EA31DE" w14:textId="72678366" w:rsidR="004A0E15" w:rsidRPr="00B96A5A" w:rsidRDefault="00A828A2" w:rsidP="00672044">
            <w:pPr>
              <w:spacing w:after="120" w:line="360" w:lineRule="auto"/>
              <w:jc w:val="both"/>
              <w:rPr>
                <w:rFonts w:ascii="Times New Roman" w:hAnsi="Times New Roman"/>
                <w:sz w:val="24"/>
                <w:szCs w:val="24"/>
                <w:lang w:val="en-GB"/>
              </w:rPr>
            </w:pPr>
            <w:r w:rsidRPr="00B96A5A">
              <w:rPr>
                <w:rFonts w:ascii="Times New Roman" w:hAnsi="Times New Roman"/>
                <w:sz w:val="24"/>
                <w:szCs w:val="24"/>
                <w:lang w:val="en-GB"/>
              </w:rPr>
              <w:t>All card-based payment transactions are reported, including the transactions in which the acquirer and the issuer of the card-based payment instrument/transaction are the same entity</w:t>
            </w:r>
            <w:r w:rsidR="009F0747" w:rsidRPr="00B96A5A">
              <w:rPr>
                <w:rFonts w:ascii="Times New Roman" w:hAnsi="Times New Roman"/>
                <w:sz w:val="24"/>
                <w:szCs w:val="24"/>
                <w:lang w:val="en-GB"/>
              </w:rPr>
              <w:t>, and any d</w:t>
            </w:r>
            <w:r w:rsidRPr="00B96A5A">
              <w:rPr>
                <w:rFonts w:ascii="Times New Roman" w:hAnsi="Times New Roman"/>
                <w:sz w:val="24"/>
                <w:szCs w:val="24"/>
                <w:lang w:val="en-GB"/>
              </w:rPr>
              <w:t xml:space="preserve">eductions </w:t>
            </w:r>
            <w:r w:rsidR="009F0747" w:rsidRPr="00B96A5A">
              <w:rPr>
                <w:rFonts w:ascii="Times New Roman" w:hAnsi="Times New Roman"/>
                <w:sz w:val="24"/>
                <w:szCs w:val="24"/>
                <w:lang w:val="en-GB"/>
              </w:rPr>
              <w:t xml:space="preserve">arising </w:t>
            </w:r>
            <w:r w:rsidRPr="00B96A5A">
              <w:rPr>
                <w:rFonts w:ascii="Times New Roman" w:hAnsi="Times New Roman"/>
                <w:sz w:val="24"/>
                <w:szCs w:val="24"/>
                <w:lang w:val="en-GB"/>
              </w:rPr>
              <w:t xml:space="preserve">from the settlement of </w:t>
            </w:r>
            <w:r w:rsidR="009F0747" w:rsidRPr="00B96A5A">
              <w:rPr>
                <w:rFonts w:ascii="Times New Roman" w:hAnsi="Times New Roman"/>
                <w:sz w:val="24"/>
                <w:szCs w:val="24"/>
                <w:lang w:val="en-GB"/>
              </w:rPr>
              <w:t xml:space="preserve">such </w:t>
            </w:r>
            <w:r w:rsidRPr="00B96A5A">
              <w:rPr>
                <w:rFonts w:ascii="Times New Roman" w:hAnsi="Times New Roman"/>
                <w:sz w:val="24"/>
                <w:szCs w:val="24"/>
                <w:lang w:val="en-GB"/>
              </w:rPr>
              <w:t xml:space="preserve">transaction are included.  </w:t>
            </w:r>
            <w:r w:rsidRPr="00B96A5A">
              <w:rPr>
                <w:rFonts w:ascii="Times New Roman" w:hAnsi="Times New Roman"/>
                <w:sz w:val="24"/>
                <w:szCs w:val="24"/>
                <w:lang w:val="en-GB"/>
              </w:rPr>
              <w:br/>
              <w:t xml:space="preserve">Card-based payment transactions by telephone or over the internet using a card-based payment instrument are included. </w:t>
            </w:r>
            <w:r w:rsidR="00672044" w:rsidRPr="00672044">
              <w:rPr>
                <w:rStyle w:val="FootnoteReference"/>
                <w:rFonts w:ascii="Times New Roman" w:hAnsi="Times New Roman"/>
                <w:sz w:val="24"/>
                <w:szCs w:val="24"/>
                <w:lang w:val="en-GB"/>
              </w:rPr>
              <w:fldChar w:fldCharType="begin"/>
            </w:r>
            <w:r w:rsidR="00672044" w:rsidRPr="00F162A8">
              <w:rPr>
                <w:rStyle w:val="FootnoteReference"/>
                <w:rFonts w:ascii="Times New Roman" w:hAnsi="Times New Roman"/>
                <w:sz w:val="24"/>
                <w:szCs w:val="24"/>
                <w:lang w:val="en-GB"/>
              </w:rPr>
              <w:instrText xml:space="preserve"> NOTEREF _Ref75501691 \h </w:instrText>
            </w:r>
            <w:r w:rsidR="00672044" w:rsidRPr="00672044">
              <w:rPr>
                <w:rStyle w:val="FootnoteReference"/>
                <w:rFonts w:ascii="Times New Roman" w:hAnsi="Times New Roman"/>
                <w:sz w:val="24"/>
                <w:szCs w:val="24"/>
                <w:lang w:val="en-GB"/>
              </w:rPr>
              <w:instrText xml:space="preserve"> \* MERGEFORMAT </w:instrText>
            </w:r>
            <w:r w:rsidR="00672044" w:rsidRPr="00672044">
              <w:rPr>
                <w:rStyle w:val="FootnoteReference"/>
                <w:rFonts w:ascii="Times New Roman" w:hAnsi="Times New Roman"/>
                <w:sz w:val="24"/>
                <w:szCs w:val="24"/>
                <w:lang w:val="en-GB"/>
              </w:rPr>
            </w:r>
            <w:r w:rsidR="00672044" w:rsidRPr="00672044">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62</w:t>
            </w:r>
            <w:r w:rsidR="00672044" w:rsidRPr="00672044">
              <w:rPr>
                <w:rStyle w:val="FootnoteReference"/>
                <w:rFonts w:ascii="Times New Roman" w:hAnsi="Times New Roman"/>
                <w:sz w:val="24"/>
                <w:szCs w:val="24"/>
                <w:lang w:val="en-GB"/>
              </w:rPr>
              <w:fldChar w:fldCharType="end"/>
            </w:r>
          </w:p>
        </w:tc>
      </w:tr>
      <w:tr w:rsidR="00BC26A8" w:rsidRPr="00F53249" w14:paraId="03C8415F" w14:textId="77777777" w:rsidTr="00046D76">
        <w:tc>
          <w:tcPr>
            <w:tcW w:w="2483" w:type="dxa"/>
          </w:tcPr>
          <w:p w14:paraId="3FC6DE93" w14:textId="77777777" w:rsidR="00A828A2" w:rsidRDefault="00A828A2" w:rsidP="003D1E63">
            <w:pPr>
              <w:spacing w:after="120" w:line="360" w:lineRule="auto"/>
              <w:rPr>
                <w:rFonts w:ascii="Times New Roman" w:hAnsi="Times New Roman"/>
                <w:sz w:val="24"/>
                <w:szCs w:val="24"/>
                <w:lang w:val="en-GB"/>
              </w:rPr>
            </w:pPr>
            <w:r>
              <w:rPr>
                <w:rFonts w:ascii="Times New Roman" w:hAnsi="Times New Roman"/>
                <w:sz w:val="24"/>
                <w:szCs w:val="24"/>
                <w:lang w:val="en-GB"/>
              </w:rPr>
              <w:t>‘Initiated electronically’ and ‘Initiated non-electronically’</w:t>
            </w:r>
            <w:r w:rsidR="005B1E30">
              <w:rPr>
                <w:rFonts w:ascii="Times New Roman" w:hAnsi="Times New Roman"/>
                <w:sz w:val="24"/>
                <w:szCs w:val="24"/>
                <w:lang w:val="en-GB"/>
              </w:rPr>
              <w:t>/</w:t>
            </w:r>
          </w:p>
          <w:p w14:paraId="4B5594A7" w14:textId="77777777" w:rsidR="00BC26A8" w:rsidRDefault="005B1E30" w:rsidP="003D1E63">
            <w:pPr>
              <w:spacing w:after="120" w:line="360" w:lineRule="auto"/>
              <w:rPr>
                <w:rFonts w:ascii="Times New Roman" w:hAnsi="Times New Roman"/>
                <w:sz w:val="24"/>
                <w:szCs w:val="24"/>
                <w:lang w:val="en-GB"/>
              </w:rPr>
            </w:pPr>
            <w:r>
              <w:rPr>
                <w:rFonts w:ascii="Times New Roman" w:hAnsi="Times New Roman"/>
                <w:sz w:val="24"/>
                <w:szCs w:val="24"/>
                <w:lang w:val="en-GB"/>
              </w:rPr>
              <w:t>Remote and n</w:t>
            </w:r>
            <w:r w:rsidR="00306AEE">
              <w:rPr>
                <w:rFonts w:ascii="Times New Roman" w:hAnsi="Times New Roman"/>
                <w:sz w:val="24"/>
                <w:szCs w:val="24"/>
                <w:lang w:val="en-GB"/>
              </w:rPr>
              <w:t>on-Remote channel</w:t>
            </w:r>
          </w:p>
        </w:tc>
        <w:tc>
          <w:tcPr>
            <w:tcW w:w="7151" w:type="dxa"/>
          </w:tcPr>
          <w:p w14:paraId="2D34B00C" w14:textId="77777777" w:rsidR="00F45E67" w:rsidRPr="00F45E67" w:rsidRDefault="00F45E67" w:rsidP="00BC26A8">
            <w:pPr>
              <w:spacing w:after="120" w:line="360" w:lineRule="auto"/>
              <w:jc w:val="both"/>
              <w:rPr>
                <w:rFonts w:ascii="Times New Roman" w:hAnsi="Times New Roman"/>
                <w:sz w:val="24"/>
                <w:szCs w:val="24"/>
                <w:u w:val="single"/>
                <w:lang w:val="en-GB"/>
              </w:rPr>
            </w:pPr>
            <w:r>
              <w:rPr>
                <w:rFonts w:ascii="Times New Roman" w:hAnsi="Times New Roman"/>
                <w:sz w:val="24"/>
                <w:szCs w:val="24"/>
                <w:u w:val="single"/>
                <w:lang w:val="en-GB"/>
              </w:rPr>
              <w:t>Initiation channel</w:t>
            </w:r>
          </w:p>
          <w:p w14:paraId="59528CFB" w14:textId="18EBE47F" w:rsidR="00BC26A8" w:rsidRPr="003835F5" w:rsidRDefault="00A828A2" w:rsidP="00BC26A8">
            <w:pPr>
              <w:spacing w:after="120" w:line="360" w:lineRule="auto"/>
              <w:jc w:val="both"/>
              <w:rPr>
                <w:rFonts w:ascii="Times New Roman" w:hAnsi="Times New Roman"/>
                <w:sz w:val="24"/>
                <w:szCs w:val="24"/>
                <w:lang w:val="en-GB"/>
              </w:rPr>
            </w:pPr>
            <w:r w:rsidRPr="003835F5">
              <w:rPr>
                <w:rFonts w:ascii="Times New Roman" w:hAnsi="Times New Roman"/>
                <w:sz w:val="24"/>
                <w:szCs w:val="24"/>
                <w:lang w:val="en-GB"/>
              </w:rPr>
              <w:t xml:space="preserve">Card-based payment transactions are </w:t>
            </w:r>
            <w:r w:rsidR="00122807" w:rsidRPr="003835F5">
              <w:rPr>
                <w:rFonts w:ascii="Times New Roman" w:hAnsi="Times New Roman"/>
                <w:sz w:val="24"/>
                <w:szCs w:val="24"/>
                <w:lang w:val="en-GB"/>
              </w:rPr>
              <w:t>the sum of</w:t>
            </w:r>
            <w:r w:rsidRPr="003835F5">
              <w:rPr>
                <w:rFonts w:ascii="Times New Roman" w:hAnsi="Times New Roman"/>
                <w:sz w:val="24"/>
                <w:szCs w:val="24"/>
                <w:lang w:val="en-GB"/>
              </w:rPr>
              <w:t xml:space="preserve"> those ‘initiated electronically’</w:t>
            </w:r>
            <w:r w:rsidR="00672044" w:rsidRPr="00672044">
              <w:rPr>
                <w:rStyle w:val="FootnoteReference"/>
                <w:rFonts w:ascii="Times New Roman" w:hAnsi="Times New Roman"/>
                <w:sz w:val="24"/>
                <w:szCs w:val="24"/>
              </w:rPr>
              <w:fldChar w:fldCharType="begin"/>
            </w:r>
            <w:r w:rsidR="00672044" w:rsidRPr="00672044">
              <w:rPr>
                <w:rStyle w:val="FootnoteReference"/>
                <w:rFonts w:ascii="Times New Roman" w:hAnsi="Times New Roman"/>
                <w:sz w:val="24"/>
                <w:szCs w:val="24"/>
                <w:lang w:val="en-GB"/>
              </w:rPr>
              <w:instrText xml:space="preserve"> NOTEREF _Ref81221735 \h  \* MERGEFORMAT </w:instrText>
            </w:r>
            <w:r w:rsidR="00672044" w:rsidRPr="00672044">
              <w:rPr>
                <w:rStyle w:val="FootnoteReference"/>
                <w:rFonts w:ascii="Times New Roman" w:hAnsi="Times New Roman"/>
                <w:sz w:val="24"/>
                <w:szCs w:val="24"/>
              </w:rPr>
            </w:r>
            <w:r w:rsidR="00672044" w:rsidRPr="00672044">
              <w:rPr>
                <w:rStyle w:val="FootnoteReference"/>
                <w:rFonts w:ascii="Times New Roman" w:hAnsi="Times New Roman"/>
                <w:sz w:val="24"/>
                <w:szCs w:val="24"/>
              </w:rPr>
              <w:fldChar w:fldCharType="separate"/>
            </w:r>
            <w:r w:rsidR="00F53249">
              <w:rPr>
                <w:rStyle w:val="FootnoteReference"/>
                <w:rFonts w:ascii="Times New Roman" w:hAnsi="Times New Roman"/>
                <w:sz w:val="24"/>
                <w:szCs w:val="24"/>
                <w:lang w:val="en-GB"/>
              </w:rPr>
              <w:t>63</w:t>
            </w:r>
            <w:r w:rsidR="00672044" w:rsidRPr="00672044">
              <w:rPr>
                <w:rStyle w:val="FootnoteReference"/>
                <w:rFonts w:ascii="Times New Roman" w:hAnsi="Times New Roman"/>
                <w:sz w:val="24"/>
                <w:szCs w:val="24"/>
              </w:rPr>
              <w:fldChar w:fldCharType="end"/>
            </w:r>
            <w:r w:rsidRPr="003835F5">
              <w:rPr>
                <w:rFonts w:ascii="Times New Roman" w:hAnsi="Times New Roman"/>
                <w:sz w:val="24"/>
                <w:szCs w:val="24"/>
                <w:lang w:val="en-GB"/>
              </w:rPr>
              <w:t xml:space="preserve"> and those ‘initiated non-electronically’</w:t>
            </w:r>
            <w:r w:rsidR="00672044" w:rsidRPr="00672044">
              <w:rPr>
                <w:rStyle w:val="FootnoteReference"/>
                <w:rFonts w:ascii="Times New Roman" w:hAnsi="Times New Roman"/>
                <w:sz w:val="24"/>
                <w:szCs w:val="24"/>
                <w:lang w:val="en-GB"/>
              </w:rPr>
              <w:fldChar w:fldCharType="begin"/>
            </w:r>
            <w:r w:rsidR="00672044" w:rsidRPr="00672044">
              <w:rPr>
                <w:rStyle w:val="FootnoteReference"/>
                <w:rFonts w:ascii="Times New Roman" w:hAnsi="Times New Roman"/>
                <w:sz w:val="24"/>
                <w:szCs w:val="24"/>
                <w:lang w:val="en-GB"/>
              </w:rPr>
              <w:instrText xml:space="preserve"> NOTEREF _Ref72000886 \h  \* MERGEFORMAT </w:instrText>
            </w:r>
            <w:r w:rsidR="00672044" w:rsidRPr="00672044">
              <w:rPr>
                <w:rStyle w:val="FootnoteReference"/>
                <w:rFonts w:ascii="Times New Roman" w:hAnsi="Times New Roman"/>
                <w:sz w:val="24"/>
                <w:szCs w:val="24"/>
                <w:lang w:val="en-GB"/>
              </w:rPr>
            </w:r>
            <w:r w:rsidR="00672044" w:rsidRPr="00672044">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64</w:t>
            </w:r>
            <w:r w:rsidR="00672044" w:rsidRPr="00672044">
              <w:rPr>
                <w:rStyle w:val="FootnoteReference"/>
                <w:rFonts w:ascii="Times New Roman" w:hAnsi="Times New Roman"/>
                <w:sz w:val="24"/>
                <w:szCs w:val="24"/>
                <w:lang w:val="en-GB"/>
              </w:rPr>
              <w:fldChar w:fldCharType="end"/>
            </w:r>
            <w:r w:rsidR="00364D2E">
              <w:rPr>
                <w:rFonts w:ascii="Times New Roman" w:hAnsi="Times New Roman"/>
                <w:sz w:val="24"/>
                <w:szCs w:val="24"/>
                <w:lang w:val="en-GB"/>
              </w:rPr>
              <w:t xml:space="preserve">. </w:t>
            </w:r>
            <w:r w:rsidRPr="003835F5">
              <w:rPr>
                <w:rFonts w:ascii="Times New Roman" w:hAnsi="Times New Roman"/>
                <w:sz w:val="24"/>
                <w:szCs w:val="24"/>
                <w:lang w:val="en-GB"/>
              </w:rPr>
              <w:t>Card-based payment transactions are further broken down into remote and non-remote initiation channels. These categories are mutually exclusive.</w:t>
            </w:r>
          </w:p>
          <w:p w14:paraId="4EF7641B" w14:textId="54724D18" w:rsidR="00122807" w:rsidRPr="003835F5" w:rsidRDefault="009F0747" w:rsidP="00672044">
            <w:pPr>
              <w:spacing w:after="120" w:line="360" w:lineRule="auto"/>
              <w:jc w:val="both"/>
              <w:rPr>
                <w:rFonts w:ascii="Times New Roman" w:hAnsi="Times New Roman"/>
                <w:sz w:val="24"/>
                <w:szCs w:val="24"/>
                <w:lang w:val="en-GB"/>
              </w:rPr>
            </w:pPr>
            <w:r w:rsidRPr="003835F5">
              <w:rPr>
                <w:rFonts w:ascii="Times New Roman" w:hAnsi="Times New Roman"/>
                <w:sz w:val="24"/>
                <w:szCs w:val="24"/>
                <w:lang w:val="en-GB"/>
              </w:rPr>
              <w:t xml:space="preserve">Card-based payment transactions </w:t>
            </w:r>
            <w:r w:rsidR="00122807" w:rsidRPr="003835F5">
              <w:rPr>
                <w:rFonts w:ascii="Times New Roman" w:hAnsi="Times New Roman"/>
                <w:sz w:val="24"/>
                <w:szCs w:val="24"/>
                <w:lang w:val="en-GB"/>
              </w:rPr>
              <w:t xml:space="preserve">initiated </w:t>
            </w:r>
            <w:r w:rsidRPr="003835F5">
              <w:rPr>
                <w:rFonts w:ascii="Times New Roman" w:hAnsi="Times New Roman"/>
                <w:sz w:val="24"/>
                <w:szCs w:val="24"/>
                <w:lang w:val="en-GB"/>
              </w:rPr>
              <w:t xml:space="preserve">electronically via non-remote payment channel are </w:t>
            </w:r>
            <w:r w:rsidR="00122807" w:rsidRPr="003835F5">
              <w:rPr>
                <w:rFonts w:ascii="Times New Roman" w:hAnsi="Times New Roman"/>
                <w:sz w:val="24"/>
                <w:szCs w:val="24"/>
                <w:lang w:val="en-GB"/>
              </w:rPr>
              <w:t>the sum of those</w:t>
            </w:r>
            <w:r w:rsidR="00B96A5A" w:rsidRPr="003835F5">
              <w:rPr>
                <w:rFonts w:ascii="Times New Roman" w:hAnsi="Times New Roman"/>
                <w:sz w:val="24"/>
                <w:szCs w:val="24"/>
                <w:lang w:val="en-GB"/>
              </w:rPr>
              <w:t xml:space="preserve"> ‘I</w:t>
            </w:r>
            <w:r w:rsidRPr="003835F5">
              <w:rPr>
                <w:rFonts w:ascii="Times New Roman" w:hAnsi="Times New Roman"/>
                <w:sz w:val="24"/>
                <w:szCs w:val="24"/>
                <w:lang w:val="en-GB"/>
              </w:rPr>
              <w:t xml:space="preserve">nitiated at </w:t>
            </w:r>
            <w:r w:rsidR="00122807" w:rsidRPr="003835F5">
              <w:rPr>
                <w:rFonts w:ascii="Times New Roman" w:hAnsi="Times New Roman"/>
                <w:sz w:val="24"/>
                <w:szCs w:val="24"/>
                <w:lang w:val="en-GB"/>
              </w:rPr>
              <w:t xml:space="preserve">a </w:t>
            </w:r>
            <w:r w:rsidRPr="003835F5">
              <w:rPr>
                <w:rFonts w:ascii="Times New Roman" w:hAnsi="Times New Roman"/>
                <w:sz w:val="24"/>
                <w:szCs w:val="24"/>
                <w:lang w:val="en-GB"/>
              </w:rPr>
              <w:t xml:space="preserve">physical </w:t>
            </w:r>
            <w:r w:rsidRPr="00672044">
              <w:rPr>
                <w:rFonts w:ascii="Times New Roman" w:hAnsi="Times New Roman"/>
                <w:sz w:val="24"/>
                <w:szCs w:val="24"/>
                <w:lang w:val="en-GB"/>
              </w:rPr>
              <w:t>EFTPOS’</w:t>
            </w:r>
            <w:r w:rsidR="00672044" w:rsidRPr="00672044">
              <w:rPr>
                <w:rStyle w:val="FootnoteReference"/>
                <w:rFonts w:ascii="Times New Roman" w:hAnsi="Times New Roman"/>
                <w:sz w:val="24"/>
                <w:szCs w:val="24"/>
                <w:lang w:val="en-GB"/>
              </w:rPr>
              <w:fldChar w:fldCharType="begin"/>
            </w:r>
            <w:r w:rsidR="00672044" w:rsidRPr="00672044">
              <w:rPr>
                <w:rStyle w:val="FootnoteReference"/>
                <w:rFonts w:ascii="Times New Roman" w:hAnsi="Times New Roman"/>
                <w:sz w:val="24"/>
                <w:szCs w:val="24"/>
                <w:lang w:val="en-GB"/>
              </w:rPr>
              <w:instrText xml:space="preserve"> NOTEREF _Ref72000829 \h  \* MERGEFORMAT </w:instrText>
            </w:r>
            <w:r w:rsidR="00672044" w:rsidRPr="00672044">
              <w:rPr>
                <w:rStyle w:val="FootnoteReference"/>
                <w:rFonts w:ascii="Times New Roman" w:hAnsi="Times New Roman"/>
                <w:sz w:val="24"/>
                <w:szCs w:val="24"/>
                <w:lang w:val="en-GB"/>
              </w:rPr>
            </w:r>
            <w:r w:rsidR="00672044" w:rsidRPr="00672044">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68</w:t>
            </w:r>
            <w:r w:rsidR="00672044" w:rsidRPr="00672044">
              <w:rPr>
                <w:rStyle w:val="FootnoteReference"/>
                <w:rFonts w:ascii="Times New Roman" w:hAnsi="Times New Roman"/>
                <w:sz w:val="24"/>
                <w:szCs w:val="24"/>
                <w:lang w:val="en-GB"/>
              </w:rPr>
              <w:fldChar w:fldCharType="end"/>
            </w:r>
            <w:r w:rsidR="00B96A5A" w:rsidRPr="00672044">
              <w:rPr>
                <w:rFonts w:ascii="Times New Roman" w:hAnsi="Times New Roman"/>
                <w:sz w:val="24"/>
                <w:szCs w:val="24"/>
                <w:lang w:val="en-GB"/>
              </w:rPr>
              <w:t>, ‘I</w:t>
            </w:r>
            <w:r w:rsidRPr="00672044">
              <w:rPr>
                <w:rFonts w:ascii="Times New Roman" w:hAnsi="Times New Roman"/>
                <w:sz w:val="24"/>
                <w:szCs w:val="24"/>
                <w:lang w:val="en-GB"/>
              </w:rPr>
              <w:t>nitiated at an ATM’</w:t>
            </w:r>
            <w:r w:rsidR="00672044" w:rsidRPr="00672044">
              <w:rPr>
                <w:rStyle w:val="FootnoteReference"/>
                <w:rFonts w:ascii="Times New Roman" w:hAnsi="Times New Roman"/>
                <w:sz w:val="24"/>
                <w:szCs w:val="24"/>
                <w:lang w:val="en-GB"/>
              </w:rPr>
              <w:fldChar w:fldCharType="begin"/>
            </w:r>
            <w:r w:rsidR="00672044" w:rsidRPr="00672044">
              <w:rPr>
                <w:rStyle w:val="FootnoteReference"/>
                <w:rFonts w:ascii="Times New Roman" w:hAnsi="Times New Roman"/>
                <w:sz w:val="24"/>
                <w:szCs w:val="24"/>
                <w:lang w:val="en-GB"/>
              </w:rPr>
              <w:instrText xml:space="preserve"> NOTEREF _Ref81205907 \h  \* MERGEFORMAT </w:instrText>
            </w:r>
            <w:r w:rsidR="00672044" w:rsidRPr="00672044">
              <w:rPr>
                <w:rStyle w:val="FootnoteReference"/>
                <w:rFonts w:ascii="Times New Roman" w:hAnsi="Times New Roman"/>
                <w:sz w:val="24"/>
                <w:szCs w:val="24"/>
                <w:lang w:val="en-GB"/>
              </w:rPr>
            </w:r>
            <w:r w:rsidR="00672044" w:rsidRPr="00672044">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69</w:t>
            </w:r>
            <w:r w:rsidR="00672044" w:rsidRPr="00672044">
              <w:rPr>
                <w:rStyle w:val="FootnoteReference"/>
                <w:rFonts w:ascii="Times New Roman" w:hAnsi="Times New Roman"/>
                <w:sz w:val="24"/>
                <w:szCs w:val="24"/>
                <w:lang w:val="en-GB"/>
              </w:rPr>
              <w:fldChar w:fldCharType="end"/>
            </w:r>
            <w:r w:rsidRPr="00672044">
              <w:rPr>
                <w:rFonts w:ascii="Times New Roman" w:hAnsi="Times New Roman"/>
                <w:sz w:val="24"/>
                <w:szCs w:val="24"/>
                <w:lang w:val="en-GB"/>
              </w:rPr>
              <w:t xml:space="preserve"> and ‘Others’</w:t>
            </w:r>
            <w:r w:rsidR="00364D2E" w:rsidRPr="00672044">
              <w:rPr>
                <w:rStyle w:val="FootnoteReference"/>
                <w:rFonts w:ascii="Times New Roman" w:hAnsi="Times New Roman"/>
                <w:sz w:val="24"/>
                <w:szCs w:val="24"/>
                <w:lang w:val="en-GB"/>
              </w:rPr>
              <w:fldChar w:fldCharType="begin"/>
            </w:r>
            <w:r w:rsidR="00364D2E" w:rsidRPr="00672044">
              <w:rPr>
                <w:rStyle w:val="FootnoteReference"/>
                <w:rFonts w:ascii="Times New Roman" w:hAnsi="Times New Roman"/>
                <w:sz w:val="24"/>
                <w:szCs w:val="24"/>
                <w:lang w:val="en-GB"/>
              </w:rPr>
              <w:instrText xml:space="preserve"> NOTEREF _Ref75503493 \h  \* MERGEFORMAT </w:instrText>
            </w:r>
            <w:r w:rsidR="00364D2E" w:rsidRPr="00672044">
              <w:rPr>
                <w:rStyle w:val="FootnoteReference"/>
                <w:rFonts w:ascii="Times New Roman" w:hAnsi="Times New Roman"/>
                <w:sz w:val="24"/>
                <w:szCs w:val="24"/>
                <w:lang w:val="en-GB"/>
              </w:rPr>
            </w:r>
            <w:r w:rsidR="00364D2E" w:rsidRPr="00672044">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70</w:t>
            </w:r>
            <w:r w:rsidR="00364D2E" w:rsidRPr="00672044">
              <w:rPr>
                <w:rStyle w:val="FootnoteReference"/>
                <w:rFonts w:ascii="Times New Roman" w:hAnsi="Times New Roman"/>
                <w:sz w:val="24"/>
                <w:szCs w:val="24"/>
                <w:lang w:val="en-GB"/>
              </w:rPr>
              <w:fldChar w:fldCharType="end"/>
            </w:r>
            <w:r w:rsidRPr="00672044">
              <w:rPr>
                <w:rFonts w:ascii="Times New Roman" w:hAnsi="Times New Roman"/>
                <w:sz w:val="24"/>
                <w:szCs w:val="24"/>
                <w:lang w:val="en-GB"/>
              </w:rPr>
              <w:t>.</w:t>
            </w:r>
            <w:r w:rsidRPr="003835F5">
              <w:rPr>
                <w:rFonts w:ascii="Times New Roman" w:hAnsi="Times New Roman"/>
                <w:sz w:val="24"/>
                <w:szCs w:val="24"/>
                <w:lang w:val="en-GB"/>
              </w:rPr>
              <w:t xml:space="preserve"> </w:t>
            </w:r>
          </w:p>
        </w:tc>
      </w:tr>
      <w:tr w:rsidR="00BC26A8" w:rsidRPr="00F53249" w14:paraId="3FC7F8F3" w14:textId="77777777" w:rsidTr="00046D76">
        <w:tc>
          <w:tcPr>
            <w:tcW w:w="9634" w:type="dxa"/>
            <w:gridSpan w:val="2"/>
            <w:shd w:val="clear" w:color="auto" w:fill="B4C6E7" w:themeFill="accent5" w:themeFillTint="66"/>
          </w:tcPr>
          <w:p w14:paraId="348079A8" w14:textId="77777777" w:rsidR="00BC26A8" w:rsidRPr="00C061E2" w:rsidRDefault="00BC26A8" w:rsidP="00BC26A8">
            <w:pPr>
              <w:spacing w:after="120" w:line="360" w:lineRule="auto"/>
              <w:jc w:val="both"/>
              <w:rPr>
                <w:rFonts w:ascii="Times New Roman" w:hAnsi="Times New Roman"/>
                <w:b/>
                <w:sz w:val="24"/>
                <w:szCs w:val="24"/>
                <w:lang w:val="en-GB"/>
              </w:rPr>
            </w:pPr>
            <w:r w:rsidRPr="00C061E2">
              <w:rPr>
                <w:rFonts w:ascii="Times New Roman" w:hAnsi="Times New Roman"/>
                <w:b/>
                <w:sz w:val="24"/>
                <w:szCs w:val="24"/>
                <w:lang w:val="en-GB"/>
              </w:rPr>
              <w:t>Card-based payment transactions initiated electronically</w:t>
            </w:r>
          </w:p>
        </w:tc>
      </w:tr>
      <w:tr w:rsidR="00EC206D" w:rsidRPr="00CA2996" w14:paraId="6265CC6C" w14:textId="77777777" w:rsidTr="00046D76">
        <w:tc>
          <w:tcPr>
            <w:tcW w:w="2483" w:type="dxa"/>
          </w:tcPr>
          <w:p w14:paraId="75A650B9" w14:textId="77777777" w:rsidR="00EC206D" w:rsidRDefault="00122807" w:rsidP="003D1E63">
            <w:pPr>
              <w:spacing w:after="120" w:line="360" w:lineRule="auto"/>
              <w:rPr>
                <w:rFonts w:ascii="Times New Roman" w:hAnsi="Times New Roman"/>
                <w:sz w:val="24"/>
                <w:szCs w:val="24"/>
                <w:lang w:val="en-GB"/>
              </w:rPr>
            </w:pPr>
            <w:r>
              <w:rPr>
                <w:rFonts w:ascii="Times New Roman" w:hAnsi="Times New Roman"/>
                <w:sz w:val="24"/>
                <w:szCs w:val="24"/>
                <w:lang w:val="en-GB"/>
              </w:rPr>
              <w:t>Reasons for non-SCA</w:t>
            </w:r>
            <w:r w:rsidR="00306AEE">
              <w:rPr>
                <w:rFonts w:ascii="Times New Roman" w:hAnsi="Times New Roman"/>
                <w:sz w:val="24"/>
                <w:szCs w:val="24"/>
                <w:lang w:val="en-GB"/>
              </w:rPr>
              <w:t>/</w:t>
            </w:r>
          </w:p>
          <w:p w14:paraId="0873D03B" w14:textId="77777777" w:rsidR="00306AEE" w:rsidRPr="00306AEE" w:rsidRDefault="00306AEE" w:rsidP="003D1E63">
            <w:pPr>
              <w:spacing w:after="120" w:line="360" w:lineRule="auto"/>
              <w:rPr>
                <w:rFonts w:ascii="Times New Roman" w:hAnsi="Times New Roman"/>
                <w:sz w:val="24"/>
                <w:szCs w:val="24"/>
                <w:lang w:val="en-GB"/>
              </w:rPr>
            </w:pPr>
            <w:r w:rsidRPr="00306AEE">
              <w:rPr>
                <w:rFonts w:ascii="Times New Roman" w:hAnsi="Times New Roman"/>
                <w:sz w:val="24"/>
                <w:szCs w:val="24"/>
                <w:lang w:val="en-GB"/>
              </w:rPr>
              <w:t>Processed by payment card schemes</w:t>
            </w:r>
          </w:p>
          <w:p w14:paraId="5E082732" w14:textId="77777777" w:rsidR="00306AEE" w:rsidRDefault="00306AEE" w:rsidP="00BC26A8">
            <w:pPr>
              <w:spacing w:after="120" w:line="360" w:lineRule="auto"/>
              <w:jc w:val="both"/>
              <w:rPr>
                <w:rFonts w:ascii="Times New Roman" w:hAnsi="Times New Roman"/>
                <w:sz w:val="24"/>
                <w:szCs w:val="24"/>
                <w:lang w:val="en-GB"/>
              </w:rPr>
            </w:pPr>
          </w:p>
        </w:tc>
        <w:tc>
          <w:tcPr>
            <w:tcW w:w="7151" w:type="dxa"/>
          </w:tcPr>
          <w:p w14:paraId="79D4991B" w14:textId="77777777" w:rsidR="00306AEE" w:rsidRDefault="00306AEE" w:rsidP="00306AEE">
            <w:pPr>
              <w:spacing w:after="120" w:line="360" w:lineRule="auto"/>
              <w:jc w:val="both"/>
              <w:rPr>
                <w:rFonts w:ascii="Times New Roman" w:hAnsi="Times New Roman"/>
                <w:sz w:val="24"/>
                <w:szCs w:val="24"/>
                <w:u w:val="single"/>
                <w:lang w:val="en-GB"/>
              </w:rPr>
            </w:pPr>
            <w:r>
              <w:rPr>
                <w:rFonts w:ascii="Times New Roman" w:hAnsi="Times New Roman"/>
                <w:sz w:val="24"/>
                <w:szCs w:val="24"/>
                <w:u w:val="single"/>
                <w:lang w:val="en-GB"/>
              </w:rPr>
              <w:t>Authenticated via non-SCA</w:t>
            </w:r>
          </w:p>
          <w:p w14:paraId="6C0288E2" w14:textId="19C1D7FA" w:rsidR="00122807" w:rsidRDefault="00122807" w:rsidP="00EC206D">
            <w:pPr>
              <w:spacing w:after="120" w:line="360" w:lineRule="auto"/>
              <w:jc w:val="both"/>
              <w:rPr>
                <w:rFonts w:ascii="Times New Roman" w:hAnsi="Times New Roman"/>
                <w:sz w:val="24"/>
                <w:szCs w:val="24"/>
                <w:lang w:val="en-GB"/>
              </w:rPr>
            </w:pPr>
            <w:r>
              <w:rPr>
                <w:rFonts w:ascii="Times New Roman" w:hAnsi="Times New Roman"/>
                <w:sz w:val="24"/>
                <w:szCs w:val="24"/>
                <w:lang w:val="en-GB"/>
              </w:rPr>
              <w:t>C</w:t>
            </w:r>
            <w:r w:rsidRPr="00760F3B">
              <w:rPr>
                <w:rFonts w:ascii="Times New Roman" w:hAnsi="Times New Roman"/>
                <w:sz w:val="24"/>
                <w:szCs w:val="24"/>
                <w:lang w:val="en-GB"/>
              </w:rPr>
              <w:t xml:space="preserve">ard-based payment transactions initiated electronically </w:t>
            </w:r>
            <w:r>
              <w:rPr>
                <w:rFonts w:ascii="Times New Roman" w:hAnsi="Times New Roman"/>
                <w:sz w:val="24"/>
                <w:szCs w:val="24"/>
                <w:lang w:val="en-GB"/>
              </w:rPr>
              <w:t xml:space="preserve">are broken down into the </w:t>
            </w:r>
            <w:r w:rsidRPr="00760F3B">
              <w:rPr>
                <w:rFonts w:ascii="Times New Roman" w:hAnsi="Times New Roman"/>
                <w:sz w:val="24"/>
                <w:szCs w:val="24"/>
                <w:lang w:val="en-GB"/>
              </w:rPr>
              <w:t>reasons</w:t>
            </w:r>
            <w:r w:rsidR="00E65227" w:rsidRPr="00E65227">
              <w:rPr>
                <w:rStyle w:val="FootnoteReference"/>
                <w:rFonts w:ascii="Times New Roman" w:hAnsi="Times New Roman"/>
                <w:sz w:val="24"/>
                <w:szCs w:val="24"/>
                <w:lang w:val="en-GB"/>
              </w:rPr>
              <w:fldChar w:fldCharType="begin"/>
            </w:r>
            <w:r w:rsidR="00E65227" w:rsidRPr="00E65227">
              <w:rPr>
                <w:rStyle w:val="FootnoteReference"/>
                <w:rFonts w:ascii="Times New Roman" w:hAnsi="Times New Roman"/>
                <w:sz w:val="24"/>
                <w:szCs w:val="24"/>
                <w:lang w:val="en-GB"/>
              </w:rPr>
              <w:instrText xml:space="preserve"> NOTEREF _Ref75508349 \h  \* MERGEFORMAT </w:instrText>
            </w:r>
            <w:r w:rsidR="00E65227" w:rsidRPr="00E65227">
              <w:rPr>
                <w:rStyle w:val="FootnoteReference"/>
                <w:rFonts w:ascii="Times New Roman" w:hAnsi="Times New Roman"/>
                <w:sz w:val="24"/>
                <w:szCs w:val="24"/>
                <w:lang w:val="en-GB"/>
              </w:rPr>
            </w:r>
            <w:r w:rsidR="00E65227" w:rsidRPr="00E65227">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55</w:t>
            </w:r>
            <w:r w:rsidR="00E65227" w:rsidRPr="00E65227">
              <w:rPr>
                <w:rStyle w:val="FootnoteReference"/>
                <w:rFonts w:ascii="Times New Roman" w:hAnsi="Times New Roman"/>
                <w:sz w:val="24"/>
                <w:szCs w:val="24"/>
                <w:lang w:val="en-GB"/>
              </w:rPr>
              <w:fldChar w:fldCharType="end"/>
            </w:r>
            <w:r w:rsidRPr="00760F3B">
              <w:rPr>
                <w:rFonts w:ascii="Times New Roman" w:hAnsi="Times New Roman"/>
                <w:sz w:val="24"/>
                <w:szCs w:val="24"/>
                <w:lang w:val="en-GB"/>
              </w:rPr>
              <w:t xml:space="preserve"> for </w:t>
            </w:r>
            <w:r w:rsidR="00FA368F">
              <w:rPr>
                <w:rFonts w:ascii="Times New Roman" w:hAnsi="Times New Roman"/>
                <w:sz w:val="24"/>
                <w:szCs w:val="24"/>
                <w:lang w:val="en-GB"/>
              </w:rPr>
              <w:t xml:space="preserve">authenticating via </w:t>
            </w:r>
            <w:r w:rsidRPr="00760F3B">
              <w:rPr>
                <w:rFonts w:ascii="Times New Roman" w:hAnsi="Times New Roman"/>
                <w:sz w:val="24"/>
                <w:szCs w:val="24"/>
                <w:lang w:val="en-GB"/>
              </w:rPr>
              <w:t xml:space="preserve">non-SCA. </w:t>
            </w:r>
            <w:r w:rsidR="00B96A5A">
              <w:rPr>
                <w:rFonts w:ascii="Times New Roman" w:hAnsi="Times New Roman"/>
                <w:sz w:val="24"/>
                <w:szCs w:val="24"/>
                <w:lang w:val="en-GB"/>
              </w:rPr>
              <w:t>‘Recurring transaction’, ‘C</w:t>
            </w:r>
            <w:r>
              <w:rPr>
                <w:rFonts w:ascii="Times New Roman" w:hAnsi="Times New Roman"/>
                <w:sz w:val="24"/>
                <w:szCs w:val="24"/>
                <w:lang w:val="en-GB"/>
              </w:rPr>
              <w:t>ontactless low</w:t>
            </w:r>
            <w:r w:rsidR="00B96A5A">
              <w:rPr>
                <w:rFonts w:ascii="Times New Roman" w:hAnsi="Times New Roman"/>
                <w:sz w:val="24"/>
                <w:szCs w:val="24"/>
                <w:lang w:val="en-GB"/>
              </w:rPr>
              <w:t xml:space="preserve"> value’, ‘U</w:t>
            </w:r>
            <w:r>
              <w:rPr>
                <w:rFonts w:ascii="Times New Roman" w:hAnsi="Times New Roman"/>
                <w:sz w:val="24"/>
                <w:szCs w:val="24"/>
                <w:lang w:val="en-GB"/>
              </w:rPr>
              <w:t>nattended terminals for transpo</w:t>
            </w:r>
            <w:r w:rsidR="00B96A5A">
              <w:rPr>
                <w:rFonts w:ascii="Times New Roman" w:hAnsi="Times New Roman"/>
                <w:sz w:val="24"/>
                <w:szCs w:val="24"/>
                <w:lang w:val="en-GB"/>
              </w:rPr>
              <w:t xml:space="preserve">rt </w:t>
            </w:r>
            <w:r w:rsidR="00B96A5A">
              <w:rPr>
                <w:rFonts w:ascii="Times New Roman" w:hAnsi="Times New Roman"/>
                <w:sz w:val="24"/>
                <w:szCs w:val="24"/>
                <w:lang w:val="en-GB"/>
              </w:rPr>
              <w:lastRenderedPageBreak/>
              <w:t>fares or parking fees’ and ‘O</w:t>
            </w:r>
            <w:r>
              <w:rPr>
                <w:rFonts w:ascii="Times New Roman" w:hAnsi="Times New Roman"/>
                <w:sz w:val="24"/>
                <w:szCs w:val="24"/>
                <w:lang w:val="en-GB"/>
              </w:rPr>
              <w:t xml:space="preserve">ther’ are </w:t>
            </w:r>
            <w:r w:rsidR="00FA368F">
              <w:rPr>
                <w:rFonts w:ascii="Times New Roman" w:hAnsi="Times New Roman"/>
                <w:sz w:val="24"/>
                <w:szCs w:val="24"/>
                <w:lang w:val="en-GB"/>
              </w:rPr>
              <w:t xml:space="preserve">the </w:t>
            </w:r>
            <w:r>
              <w:rPr>
                <w:rFonts w:ascii="Times New Roman" w:hAnsi="Times New Roman"/>
                <w:sz w:val="24"/>
                <w:szCs w:val="24"/>
                <w:lang w:val="en-GB"/>
              </w:rPr>
              <w:t xml:space="preserve">reasons for </w:t>
            </w:r>
            <w:r w:rsidR="00FA368F">
              <w:rPr>
                <w:rFonts w:ascii="Times New Roman" w:hAnsi="Times New Roman"/>
                <w:sz w:val="24"/>
                <w:szCs w:val="24"/>
                <w:lang w:val="en-GB"/>
              </w:rPr>
              <w:t xml:space="preserve">authenticating via </w:t>
            </w:r>
            <w:r>
              <w:rPr>
                <w:rFonts w:ascii="Times New Roman" w:hAnsi="Times New Roman"/>
                <w:sz w:val="24"/>
                <w:szCs w:val="24"/>
                <w:lang w:val="en-GB"/>
              </w:rPr>
              <w:t>non-SCA under a non-</w:t>
            </w:r>
            <w:r w:rsidR="00B96A5A">
              <w:rPr>
                <w:rFonts w:ascii="Times New Roman" w:hAnsi="Times New Roman"/>
                <w:sz w:val="24"/>
                <w:szCs w:val="24"/>
                <w:lang w:val="en-GB"/>
              </w:rPr>
              <w:t>remote payment channel, while ‘Recurring transaction’, ‘Low value’, ‘Transaction risk analysis’, ‘M</w:t>
            </w:r>
            <w:r>
              <w:rPr>
                <w:rFonts w:ascii="Times New Roman" w:hAnsi="Times New Roman"/>
                <w:sz w:val="24"/>
                <w:szCs w:val="24"/>
                <w:lang w:val="en-GB"/>
              </w:rPr>
              <w:t xml:space="preserve">erchant initiated </w:t>
            </w:r>
            <w:r w:rsidRPr="00C953ED">
              <w:rPr>
                <w:rFonts w:ascii="Times New Roman" w:hAnsi="Times New Roman"/>
                <w:sz w:val="24"/>
                <w:szCs w:val="24"/>
                <w:lang w:val="en-GB"/>
              </w:rPr>
              <w:t>transactions’</w:t>
            </w:r>
            <w:r w:rsidR="00274E30" w:rsidRPr="00274E30">
              <w:rPr>
                <w:rStyle w:val="FootnoteReference"/>
                <w:rFonts w:ascii="Times New Roman" w:hAnsi="Times New Roman"/>
                <w:sz w:val="24"/>
                <w:szCs w:val="24"/>
                <w:lang w:val="en-GB"/>
              </w:rPr>
              <w:fldChar w:fldCharType="begin"/>
            </w:r>
            <w:r w:rsidR="00274E30" w:rsidRPr="00274E30">
              <w:rPr>
                <w:rStyle w:val="FootnoteReference"/>
                <w:rFonts w:ascii="Times New Roman" w:hAnsi="Times New Roman"/>
                <w:sz w:val="24"/>
                <w:szCs w:val="24"/>
                <w:lang w:val="en-GB"/>
              </w:rPr>
              <w:instrText xml:space="preserve"> NOTEREF _Ref72001237 \h  \* MERGEFORMAT </w:instrText>
            </w:r>
            <w:r w:rsidR="00274E30" w:rsidRPr="00274E30">
              <w:rPr>
                <w:rStyle w:val="FootnoteReference"/>
                <w:rFonts w:ascii="Times New Roman" w:hAnsi="Times New Roman"/>
                <w:sz w:val="24"/>
                <w:szCs w:val="24"/>
                <w:lang w:val="en-GB"/>
              </w:rPr>
            </w:r>
            <w:r w:rsidR="00274E30" w:rsidRPr="00274E3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73</w:t>
            </w:r>
            <w:r w:rsidR="00274E30" w:rsidRPr="00274E30">
              <w:rPr>
                <w:rStyle w:val="FootnoteReference"/>
                <w:rFonts w:ascii="Times New Roman" w:hAnsi="Times New Roman"/>
                <w:sz w:val="24"/>
                <w:szCs w:val="24"/>
                <w:lang w:val="en-GB"/>
              </w:rPr>
              <w:fldChar w:fldCharType="end"/>
            </w:r>
            <w:r w:rsidR="00B96A5A" w:rsidRPr="00C953ED">
              <w:rPr>
                <w:rFonts w:ascii="Times New Roman" w:hAnsi="Times New Roman"/>
                <w:sz w:val="24"/>
                <w:szCs w:val="24"/>
                <w:lang w:val="en-GB"/>
              </w:rPr>
              <w:t xml:space="preserve"> and ‘O</w:t>
            </w:r>
            <w:r w:rsidRPr="00C953ED">
              <w:rPr>
                <w:rFonts w:ascii="Times New Roman" w:hAnsi="Times New Roman"/>
                <w:sz w:val="24"/>
                <w:szCs w:val="24"/>
                <w:lang w:val="en-GB"/>
              </w:rPr>
              <w:t>ther’,  are</w:t>
            </w:r>
            <w:r w:rsidR="00FA368F">
              <w:rPr>
                <w:rFonts w:ascii="Times New Roman" w:hAnsi="Times New Roman"/>
                <w:sz w:val="24"/>
                <w:szCs w:val="24"/>
                <w:lang w:val="en-GB"/>
              </w:rPr>
              <w:t xml:space="preserve"> the</w:t>
            </w:r>
            <w:r w:rsidRPr="00C953ED">
              <w:rPr>
                <w:rFonts w:ascii="Times New Roman" w:hAnsi="Times New Roman"/>
                <w:sz w:val="24"/>
                <w:szCs w:val="24"/>
                <w:lang w:val="en-GB"/>
              </w:rPr>
              <w:t xml:space="preserve"> reasons for </w:t>
            </w:r>
            <w:r w:rsidR="00FA368F">
              <w:rPr>
                <w:rFonts w:ascii="Times New Roman" w:hAnsi="Times New Roman"/>
                <w:sz w:val="24"/>
                <w:szCs w:val="24"/>
                <w:lang w:val="en-GB"/>
              </w:rPr>
              <w:t xml:space="preserve">authenticating via </w:t>
            </w:r>
            <w:r w:rsidRPr="00C953ED">
              <w:rPr>
                <w:rFonts w:ascii="Times New Roman" w:hAnsi="Times New Roman"/>
                <w:sz w:val="24"/>
                <w:szCs w:val="24"/>
                <w:lang w:val="en-GB"/>
              </w:rPr>
              <w:t xml:space="preserve">non-SCA under </w:t>
            </w:r>
            <w:r w:rsidR="00FA368F">
              <w:rPr>
                <w:rFonts w:ascii="Times New Roman" w:hAnsi="Times New Roman"/>
                <w:sz w:val="24"/>
                <w:szCs w:val="24"/>
                <w:lang w:val="en-GB"/>
              </w:rPr>
              <w:t xml:space="preserve">a </w:t>
            </w:r>
            <w:r w:rsidRPr="00C953ED">
              <w:rPr>
                <w:rFonts w:ascii="Times New Roman" w:hAnsi="Times New Roman"/>
                <w:sz w:val="24"/>
                <w:szCs w:val="24"/>
                <w:lang w:val="en-GB"/>
              </w:rPr>
              <w:t>remote payment channel</w:t>
            </w:r>
            <w:r>
              <w:rPr>
                <w:rFonts w:ascii="Times New Roman" w:hAnsi="Times New Roman"/>
                <w:sz w:val="24"/>
                <w:szCs w:val="24"/>
                <w:lang w:val="en-GB"/>
              </w:rPr>
              <w:t>. These sub-categories are mutually exclusive.</w:t>
            </w:r>
          </w:p>
          <w:p w14:paraId="384A2B7B" w14:textId="77777777" w:rsidR="00306AEE" w:rsidRPr="005B7F71" w:rsidRDefault="00306AEE" w:rsidP="00306AEE">
            <w:pPr>
              <w:spacing w:after="120" w:line="360" w:lineRule="auto"/>
              <w:jc w:val="both"/>
              <w:rPr>
                <w:rFonts w:ascii="Times New Roman" w:hAnsi="Times New Roman"/>
                <w:sz w:val="24"/>
                <w:szCs w:val="24"/>
                <w:lang w:val="en-GB"/>
              </w:rPr>
            </w:pPr>
            <w:r w:rsidRPr="003C42A7">
              <w:rPr>
                <w:rFonts w:ascii="Times New Roman" w:hAnsi="Times New Roman"/>
                <w:sz w:val="24"/>
                <w:szCs w:val="24"/>
                <w:u w:val="single"/>
                <w:lang w:val="en-GB"/>
              </w:rPr>
              <w:t xml:space="preserve">Processed by </w:t>
            </w:r>
            <w:r>
              <w:rPr>
                <w:rFonts w:ascii="Times New Roman" w:hAnsi="Times New Roman"/>
                <w:sz w:val="24"/>
                <w:szCs w:val="24"/>
                <w:u w:val="single"/>
                <w:lang w:val="en-GB"/>
              </w:rPr>
              <w:t>payment card</w:t>
            </w:r>
            <w:r w:rsidRPr="003C42A7">
              <w:rPr>
                <w:rFonts w:ascii="Times New Roman" w:hAnsi="Times New Roman"/>
                <w:sz w:val="24"/>
                <w:szCs w:val="24"/>
                <w:u w:val="single"/>
                <w:lang w:val="en-GB"/>
              </w:rPr>
              <w:t xml:space="preserve"> schemes</w:t>
            </w:r>
            <w:r w:rsidR="005B7F71">
              <w:rPr>
                <w:rFonts w:ascii="Times New Roman" w:hAnsi="Times New Roman"/>
                <w:sz w:val="24"/>
                <w:szCs w:val="24"/>
                <w:lang w:val="en-GB"/>
              </w:rPr>
              <w:t xml:space="preserve"> (PCSs)</w:t>
            </w:r>
          </w:p>
          <w:p w14:paraId="1072DE62" w14:textId="3E9040A5" w:rsidR="00306AEE" w:rsidRDefault="00306AEE" w:rsidP="00306AEE">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Under each payment channel (i.e. remote </w:t>
            </w:r>
            <w:r w:rsidRPr="00B96A5A">
              <w:rPr>
                <w:rFonts w:ascii="Times New Roman" w:hAnsi="Times New Roman"/>
                <w:sz w:val="24"/>
                <w:szCs w:val="24"/>
                <w:lang w:val="en-GB"/>
              </w:rPr>
              <w:t xml:space="preserve">and non-remote), transactions are further broken </w:t>
            </w:r>
            <w:r w:rsidR="00B96A5A" w:rsidRPr="00B96A5A">
              <w:rPr>
                <w:rFonts w:ascii="Times New Roman" w:hAnsi="Times New Roman"/>
                <w:sz w:val="24"/>
                <w:szCs w:val="24"/>
                <w:lang w:val="en-GB"/>
              </w:rPr>
              <w:t xml:space="preserve">down </w:t>
            </w:r>
            <w:r w:rsidRPr="00B96A5A">
              <w:rPr>
                <w:rFonts w:ascii="Times New Roman" w:hAnsi="Times New Roman"/>
                <w:sz w:val="24"/>
                <w:szCs w:val="24"/>
                <w:lang w:val="en-GB"/>
              </w:rPr>
              <w:t xml:space="preserve">into each </w:t>
            </w:r>
            <w:r w:rsidR="005B7F71">
              <w:rPr>
                <w:rFonts w:ascii="Times New Roman" w:hAnsi="Times New Roman"/>
                <w:sz w:val="24"/>
                <w:szCs w:val="24"/>
                <w:lang w:val="en-GB"/>
              </w:rPr>
              <w:t>PCSs</w:t>
            </w:r>
            <w:r w:rsidR="00274E30" w:rsidRPr="00274E30">
              <w:rPr>
                <w:rStyle w:val="FootnoteReference"/>
                <w:rFonts w:ascii="Times New Roman" w:hAnsi="Times New Roman"/>
                <w:sz w:val="24"/>
                <w:szCs w:val="24"/>
                <w:lang w:val="en-GB"/>
              </w:rPr>
              <w:fldChar w:fldCharType="begin"/>
            </w:r>
            <w:r w:rsidR="00274E30" w:rsidRPr="00274E30">
              <w:rPr>
                <w:rStyle w:val="FootnoteReference"/>
                <w:rFonts w:ascii="Times New Roman" w:hAnsi="Times New Roman"/>
                <w:sz w:val="24"/>
                <w:szCs w:val="24"/>
                <w:lang w:val="en-GB"/>
              </w:rPr>
              <w:instrText xml:space="preserve"> NOTEREF _Ref75439449 \h  \* MERGEFORMAT </w:instrText>
            </w:r>
            <w:r w:rsidR="00274E30" w:rsidRPr="00274E30">
              <w:rPr>
                <w:rStyle w:val="FootnoteReference"/>
                <w:rFonts w:ascii="Times New Roman" w:hAnsi="Times New Roman"/>
                <w:sz w:val="24"/>
                <w:szCs w:val="24"/>
                <w:lang w:val="en-GB"/>
              </w:rPr>
            </w:r>
            <w:r w:rsidR="00274E30" w:rsidRPr="00274E3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23</w:t>
            </w:r>
            <w:r w:rsidR="00274E30" w:rsidRPr="00274E30">
              <w:rPr>
                <w:rStyle w:val="FootnoteReference"/>
                <w:rFonts w:ascii="Times New Roman" w:hAnsi="Times New Roman"/>
                <w:sz w:val="24"/>
                <w:szCs w:val="24"/>
                <w:lang w:val="en-GB"/>
              </w:rPr>
              <w:fldChar w:fldCharType="end"/>
            </w:r>
            <w:r w:rsidRPr="00274E30">
              <w:rPr>
                <w:rStyle w:val="FootnoteReference"/>
                <w:lang w:val="en-GB"/>
              </w:rPr>
              <w:t xml:space="preserve"> </w:t>
            </w:r>
            <w:r w:rsidRPr="00B96A5A">
              <w:rPr>
                <w:rFonts w:ascii="Times New Roman" w:hAnsi="Times New Roman"/>
                <w:sz w:val="24"/>
                <w:szCs w:val="24"/>
                <w:lang w:val="en-GB"/>
              </w:rPr>
              <w:t>(</w:t>
            </w:r>
            <w:r w:rsidR="00B96A5A" w:rsidRPr="00B96A5A">
              <w:rPr>
                <w:rFonts w:ascii="Times New Roman" w:hAnsi="Times New Roman"/>
                <w:sz w:val="24"/>
                <w:szCs w:val="24"/>
                <w:lang w:val="en-GB"/>
              </w:rPr>
              <w:t xml:space="preserve">i.e. </w:t>
            </w:r>
            <w:r w:rsidRPr="00B96A5A">
              <w:rPr>
                <w:rFonts w:ascii="Times New Roman" w:hAnsi="Times New Roman"/>
                <w:sz w:val="24"/>
                <w:szCs w:val="24"/>
                <w:lang w:val="en-GB"/>
              </w:rPr>
              <w:t xml:space="preserve">VISA, Master Card, American Express, Diners </w:t>
            </w:r>
            <w:r w:rsidR="00B96A5A" w:rsidRPr="00B96A5A">
              <w:rPr>
                <w:rFonts w:ascii="Times New Roman" w:hAnsi="Times New Roman"/>
                <w:sz w:val="24"/>
                <w:szCs w:val="24"/>
                <w:lang w:val="en-GB"/>
              </w:rPr>
              <w:t>Club, China Union Pay, Discover and</w:t>
            </w:r>
            <w:r w:rsidRPr="00B96A5A">
              <w:rPr>
                <w:rFonts w:ascii="Times New Roman" w:hAnsi="Times New Roman"/>
                <w:sz w:val="24"/>
                <w:szCs w:val="24"/>
                <w:lang w:val="en-GB"/>
              </w:rPr>
              <w:t xml:space="preserve"> JCB). Furthermore, transactions are </w:t>
            </w:r>
            <w:r w:rsidR="00CF08B6">
              <w:rPr>
                <w:rFonts w:ascii="Times New Roman" w:hAnsi="Times New Roman"/>
                <w:sz w:val="24"/>
                <w:szCs w:val="24"/>
                <w:lang w:val="en-GB"/>
              </w:rPr>
              <w:t>divided into</w:t>
            </w:r>
            <w:r w:rsidRPr="00B96A5A">
              <w:rPr>
                <w:rFonts w:ascii="Times New Roman" w:hAnsi="Times New Roman"/>
                <w:sz w:val="24"/>
                <w:szCs w:val="24"/>
                <w:lang w:val="en-GB"/>
              </w:rPr>
              <w:t xml:space="preserve"> each card function (i.e</w:t>
            </w:r>
            <w:r w:rsidRPr="00274E30">
              <w:rPr>
                <w:rFonts w:ascii="Times New Roman" w:hAnsi="Times New Roman"/>
                <w:sz w:val="24"/>
                <w:szCs w:val="24"/>
                <w:lang w:val="en-GB"/>
              </w:rPr>
              <w:t>. debit</w:t>
            </w:r>
            <w:r w:rsidR="00274E30" w:rsidRPr="00274E30">
              <w:rPr>
                <w:rStyle w:val="FootnoteReference"/>
                <w:rFonts w:ascii="Times New Roman" w:hAnsi="Times New Roman"/>
                <w:sz w:val="24"/>
                <w:szCs w:val="24"/>
                <w:lang w:val="en-GB"/>
              </w:rPr>
              <w:fldChar w:fldCharType="begin"/>
            </w:r>
            <w:r w:rsidR="00274E30" w:rsidRPr="00274E30">
              <w:rPr>
                <w:rStyle w:val="FootnoteReference"/>
                <w:rFonts w:ascii="Times New Roman" w:hAnsi="Times New Roman"/>
                <w:sz w:val="24"/>
                <w:szCs w:val="24"/>
                <w:lang w:val="en-GB"/>
              </w:rPr>
              <w:instrText xml:space="preserve"> NOTEREF _Ref75439911 \h  \* MERGEFORMAT </w:instrText>
            </w:r>
            <w:r w:rsidR="00274E30" w:rsidRPr="00274E30">
              <w:rPr>
                <w:rStyle w:val="FootnoteReference"/>
                <w:rFonts w:ascii="Times New Roman" w:hAnsi="Times New Roman"/>
                <w:sz w:val="24"/>
                <w:szCs w:val="24"/>
                <w:lang w:val="en-GB"/>
              </w:rPr>
            </w:r>
            <w:r w:rsidR="00274E30" w:rsidRPr="00274E3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20</w:t>
            </w:r>
            <w:r w:rsidR="00274E30" w:rsidRPr="00274E30">
              <w:rPr>
                <w:rStyle w:val="FootnoteReference"/>
                <w:rFonts w:ascii="Times New Roman" w:hAnsi="Times New Roman"/>
                <w:sz w:val="24"/>
                <w:szCs w:val="24"/>
                <w:lang w:val="en-GB"/>
              </w:rPr>
              <w:fldChar w:fldCharType="end"/>
            </w:r>
            <w:r w:rsidRPr="00274E30">
              <w:rPr>
                <w:rFonts w:ascii="Times New Roman" w:hAnsi="Times New Roman"/>
                <w:sz w:val="24"/>
                <w:szCs w:val="24"/>
                <w:lang w:val="en-GB"/>
              </w:rPr>
              <w:t>, delayed debit</w:t>
            </w:r>
            <w:r w:rsidR="00274E30" w:rsidRPr="00274E30">
              <w:rPr>
                <w:rStyle w:val="FootnoteReference"/>
                <w:rFonts w:ascii="Times New Roman" w:hAnsi="Times New Roman"/>
                <w:sz w:val="24"/>
                <w:szCs w:val="24"/>
              </w:rPr>
              <w:fldChar w:fldCharType="begin"/>
            </w:r>
            <w:r w:rsidR="00274E30" w:rsidRPr="00274E30">
              <w:rPr>
                <w:rStyle w:val="FootnoteReference"/>
                <w:rFonts w:ascii="Times New Roman" w:hAnsi="Times New Roman"/>
                <w:sz w:val="24"/>
                <w:szCs w:val="24"/>
                <w:lang w:val="en-GB"/>
              </w:rPr>
              <w:instrText xml:space="preserve"> NOTEREF _Ref75439932 \h  \* MERGEFORMAT </w:instrText>
            </w:r>
            <w:r w:rsidR="00274E30" w:rsidRPr="00274E30">
              <w:rPr>
                <w:rStyle w:val="FootnoteReference"/>
                <w:rFonts w:ascii="Times New Roman" w:hAnsi="Times New Roman"/>
                <w:sz w:val="24"/>
                <w:szCs w:val="24"/>
              </w:rPr>
            </w:r>
            <w:r w:rsidR="00274E30" w:rsidRPr="00274E30">
              <w:rPr>
                <w:rStyle w:val="FootnoteReference"/>
                <w:rFonts w:ascii="Times New Roman" w:hAnsi="Times New Roman"/>
                <w:sz w:val="24"/>
                <w:szCs w:val="24"/>
              </w:rPr>
              <w:fldChar w:fldCharType="separate"/>
            </w:r>
            <w:r w:rsidR="00F53249">
              <w:rPr>
                <w:rStyle w:val="FootnoteReference"/>
                <w:rFonts w:ascii="Times New Roman" w:hAnsi="Times New Roman"/>
                <w:sz w:val="24"/>
                <w:szCs w:val="24"/>
                <w:lang w:val="en-GB"/>
              </w:rPr>
              <w:t>21</w:t>
            </w:r>
            <w:r w:rsidR="00274E30" w:rsidRPr="00274E30">
              <w:rPr>
                <w:rStyle w:val="FootnoteReference"/>
                <w:rFonts w:ascii="Times New Roman" w:hAnsi="Times New Roman"/>
                <w:sz w:val="24"/>
                <w:szCs w:val="24"/>
              </w:rPr>
              <w:fldChar w:fldCharType="end"/>
            </w:r>
            <w:r w:rsidRPr="00274E30">
              <w:rPr>
                <w:rFonts w:ascii="Times New Roman" w:hAnsi="Times New Roman"/>
                <w:sz w:val="24"/>
                <w:szCs w:val="24"/>
                <w:lang w:val="en-GB"/>
              </w:rPr>
              <w:t xml:space="preserve"> and credit</w:t>
            </w:r>
            <w:r w:rsidR="00274E30" w:rsidRPr="00274E30">
              <w:rPr>
                <w:rStyle w:val="FootnoteReference"/>
                <w:rFonts w:ascii="Times New Roman" w:hAnsi="Times New Roman"/>
                <w:sz w:val="24"/>
                <w:szCs w:val="24"/>
                <w:lang w:val="en-GB"/>
              </w:rPr>
              <w:fldChar w:fldCharType="begin"/>
            </w:r>
            <w:r w:rsidR="00274E30" w:rsidRPr="00274E30">
              <w:rPr>
                <w:rStyle w:val="FootnoteReference"/>
                <w:rFonts w:ascii="Times New Roman" w:hAnsi="Times New Roman"/>
                <w:sz w:val="24"/>
                <w:szCs w:val="24"/>
                <w:lang w:val="en-GB"/>
              </w:rPr>
              <w:instrText xml:space="preserve"> NOTEREF _Ref75439942 \h  \* MERGEFORMAT </w:instrText>
            </w:r>
            <w:r w:rsidR="00274E30" w:rsidRPr="00274E30">
              <w:rPr>
                <w:rStyle w:val="FootnoteReference"/>
                <w:rFonts w:ascii="Times New Roman" w:hAnsi="Times New Roman"/>
                <w:sz w:val="24"/>
                <w:szCs w:val="24"/>
                <w:lang w:val="en-GB"/>
              </w:rPr>
            </w:r>
            <w:r w:rsidR="00274E30" w:rsidRPr="00274E3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22</w:t>
            </w:r>
            <w:r w:rsidR="00274E30" w:rsidRPr="00274E30">
              <w:rPr>
                <w:rStyle w:val="FootnoteReference"/>
                <w:rFonts w:ascii="Times New Roman" w:hAnsi="Times New Roman"/>
                <w:sz w:val="24"/>
                <w:szCs w:val="24"/>
                <w:lang w:val="en-GB"/>
              </w:rPr>
              <w:fldChar w:fldCharType="end"/>
            </w:r>
            <w:r w:rsidRPr="00274E30">
              <w:rPr>
                <w:rFonts w:ascii="Times New Roman" w:hAnsi="Times New Roman"/>
                <w:sz w:val="24"/>
                <w:szCs w:val="24"/>
                <w:lang w:val="en-GB"/>
              </w:rPr>
              <w:t>).</w:t>
            </w:r>
            <w:r>
              <w:rPr>
                <w:rFonts w:ascii="Times New Roman" w:hAnsi="Times New Roman"/>
                <w:sz w:val="24"/>
                <w:szCs w:val="24"/>
                <w:lang w:val="en-GB"/>
              </w:rPr>
              <w:t xml:space="preserve"> </w:t>
            </w:r>
          </w:p>
          <w:p w14:paraId="65C71FC3" w14:textId="09E3902F" w:rsidR="00CA2996" w:rsidRDefault="00CA2996" w:rsidP="00CA2996">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For </w:t>
            </w:r>
            <w:r w:rsidRPr="0060127A">
              <w:rPr>
                <w:rFonts w:ascii="Times New Roman" w:hAnsi="Times New Roman"/>
                <w:sz w:val="24"/>
                <w:szCs w:val="24"/>
                <w:lang w:val="en-GB"/>
              </w:rPr>
              <w:t>PCSs other than VISA and MasterCard, the Reporting Agents should select from the drop-down list the applicable PCS and include the relevant information</w:t>
            </w:r>
            <w:r>
              <w:rPr>
                <w:rFonts w:ascii="Times New Roman" w:hAnsi="Times New Roman"/>
                <w:sz w:val="24"/>
                <w:szCs w:val="24"/>
                <w:lang w:val="en-GB"/>
              </w:rPr>
              <w:t xml:space="preserve"> in excel-sheet ‘12.5’ and/ or ‘12.6’</w:t>
            </w:r>
            <w:r w:rsidRPr="0060127A">
              <w:rPr>
                <w:rFonts w:ascii="Times New Roman" w:hAnsi="Times New Roman"/>
                <w:sz w:val="24"/>
                <w:szCs w:val="24"/>
                <w:lang w:val="en-GB"/>
              </w:rPr>
              <w:t xml:space="preserve">. In case that information needs to be reported for more than 1 PSC (other than VISA and MasterCard), then the Reporting Agent should copy and paste </w:t>
            </w:r>
            <w:r>
              <w:rPr>
                <w:rFonts w:ascii="Times New Roman" w:hAnsi="Times New Roman"/>
                <w:sz w:val="24"/>
                <w:szCs w:val="24"/>
                <w:lang w:val="en-GB"/>
              </w:rPr>
              <w:t>excel-sheet</w:t>
            </w:r>
            <w:r w:rsidRPr="0060127A">
              <w:rPr>
                <w:rFonts w:ascii="Times New Roman" w:hAnsi="Times New Roman"/>
                <w:sz w:val="24"/>
                <w:szCs w:val="24"/>
                <w:lang w:val="en-GB"/>
              </w:rPr>
              <w:t xml:space="preserve"> </w:t>
            </w:r>
            <w:r>
              <w:rPr>
                <w:rFonts w:ascii="Times New Roman" w:hAnsi="Times New Roman"/>
                <w:sz w:val="24"/>
                <w:szCs w:val="24"/>
                <w:lang w:val="en-GB"/>
              </w:rPr>
              <w:t>‘12.5’ and/ or ‘12.6’</w:t>
            </w:r>
            <w:r w:rsidRPr="0060127A">
              <w:rPr>
                <w:rFonts w:ascii="Times New Roman" w:hAnsi="Times New Roman"/>
                <w:sz w:val="24"/>
                <w:szCs w:val="24"/>
                <w:lang w:val="en-GB"/>
              </w:rPr>
              <w:t xml:space="preserve"> to include information.</w:t>
            </w:r>
            <w:r>
              <w:rPr>
                <w:rFonts w:ascii="Times New Roman" w:hAnsi="Times New Roman"/>
                <w:sz w:val="24"/>
                <w:szCs w:val="24"/>
                <w:lang w:val="en-GB"/>
              </w:rPr>
              <w:t xml:space="preserve"> </w:t>
            </w:r>
          </w:p>
          <w:p w14:paraId="21CA2122" w14:textId="77777777" w:rsidR="00EC206D" w:rsidRPr="00EE4190" w:rsidRDefault="00306AEE" w:rsidP="00B96A5A">
            <w:pPr>
              <w:spacing w:after="120" w:line="360" w:lineRule="auto"/>
              <w:jc w:val="both"/>
              <w:rPr>
                <w:rFonts w:ascii="Times New Roman" w:hAnsi="Times New Roman"/>
                <w:sz w:val="24"/>
                <w:szCs w:val="24"/>
                <w:lang w:val="en-GB"/>
              </w:rPr>
            </w:pPr>
            <w:r w:rsidRPr="00823B94">
              <w:rPr>
                <w:rFonts w:ascii="Times New Roman" w:hAnsi="Times New Roman"/>
                <w:sz w:val="24"/>
                <w:szCs w:val="24"/>
                <w:lang w:val="en-GB"/>
              </w:rPr>
              <w:t xml:space="preserve">Within each </w:t>
            </w:r>
            <w:r>
              <w:rPr>
                <w:rFonts w:ascii="Times New Roman" w:hAnsi="Times New Roman"/>
                <w:sz w:val="24"/>
                <w:szCs w:val="24"/>
                <w:lang w:val="en-GB"/>
              </w:rPr>
              <w:t>payment card scheme</w:t>
            </w:r>
            <w:r w:rsidRPr="00823B94">
              <w:rPr>
                <w:rFonts w:ascii="Times New Roman" w:hAnsi="Times New Roman"/>
                <w:sz w:val="24"/>
                <w:szCs w:val="24"/>
                <w:lang w:val="en-GB"/>
              </w:rPr>
              <w:t xml:space="preserve">, transactions are broken </w:t>
            </w:r>
            <w:r w:rsidR="00B96A5A">
              <w:rPr>
                <w:rFonts w:ascii="Times New Roman" w:hAnsi="Times New Roman"/>
                <w:sz w:val="24"/>
                <w:szCs w:val="24"/>
                <w:lang w:val="en-GB"/>
              </w:rPr>
              <w:t>into those</w:t>
            </w:r>
            <w:r w:rsidRPr="00823B94">
              <w:rPr>
                <w:rFonts w:ascii="Times New Roman" w:hAnsi="Times New Roman"/>
                <w:sz w:val="24"/>
                <w:szCs w:val="24"/>
                <w:lang w:val="en-GB"/>
              </w:rPr>
              <w:t xml:space="preserve"> ‘authenticated via SCA’ and </w:t>
            </w:r>
            <w:r w:rsidR="00B96A5A">
              <w:rPr>
                <w:rFonts w:ascii="Times New Roman" w:hAnsi="Times New Roman"/>
                <w:sz w:val="24"/>
                <w:szCs w:val="24"/>
                <w:lang w:val="en-GB"/>
              </w:rPr>
              <w:t xml:space="preserve">those </w:t>
            </w:r>
            <w:r w:rsidRPr="00823B94">
              <w:rPr>
                <w:rFonts w:ascii="Times New Roman" w:hAnsi="Times New Roman"/>
                <w:sz w:val="24"/>
                <w:szCs w:val="24"/>
                <w:lang w:val="en-GB"/>
              </w:rPr>
              <w:t>‘authenticated via non-SCA’.</w:t>
            </w:r>
            <w:r>
              <w:rPr>
                <w:rFonts w:ascii="Times New Roman" w:hAnsi="Times New Roman"/>
                <w:sz w:val="24"/>
                <w:szCs w:val="24"/>
                <w:lang w:val="en-GB"/>
              </w:rPr>
              <w:t xml:space="preserve"> These sub-categories are mutually exclusive.</w:t>
            </w:r>
          </w:p>
        </w:tc>
      </w:tr>
    </w:tbl>
    <w:p w14:paraId="7660387A" w14:textId="77777777" w:rsidR="00591697" w:rsidRPr="00760F3B" w:rsidRDefault="00591697"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5C1AD18C" w14:textId="77777777" w:rsidTr="00F40693">
        <w:tc>
          <w:tcPr>
            <w:tcW w:w="9634" w:type="dxa"/>
            <w:gridSpan w:val="2"/>
            <w:shd w:val="clear" w:color="auto" w:fill="003199"/>
          </w:tcPr>
          <w:p w14:paraId="64639A14" w14:textId="5C1AF113" w:rsidR="00591697" w:rsidRPr="00760F3B" w:rsidRDefault="00CC4F19" w:rsidP="00CC4F19">
            <w:pPr>
              <w:spacing w:after="120" w:line="360" w:lineRule="auto"/>
              <w:jc w:val="both"/>
              <w:rPr>
                <w:rFonts w:ascii="Times New Roman" w:hAnsi="Times New Roman"/>
                <w:b/>
                <w:bCs/>
                <w:sz w:val="24"/>
                <w:szCs w:val="24"/>
                <w:lang w:val="en-GB"/>
              </w:rPr>
            </w:pPr>
            <w:bookmarkStart w:id="47" w:name="_Hlk70508510"/>
            <w:r>
              <w:rPr>
                <w:rFonts w:ascii="Times New Roman" w:hAnsi="Times New Roman"/>
                <w:b/>
                <w:bCs/>
                <w:sz w:val="24"/>
                <w:szCs w:val="24"/>
                <w:lang w:val="en-GB"/>
              </w:rPr>
              <w:t>Cash W</w:t>
            </w:r>
            <w:r w:rsidR="00591697" w:rsidRPr="00760F3B">
              <w:rPr>
                <w:rFonts w:ascii="Times New Roman" w:hAnsi="Times New Roman"/>
                <w:b/>
                <w:bCs/>
                <w:sz w:val="24"/>
                <w:szCs w:val="24"/>
                <w:lang w:val="en-GB"/>
              </w:rPr>
              <w:t xml:space="preserve">ithdrawals </w:t>
            </w:r>
            <w:r>
              <w:rPr>
                <w:rFonts w:ascii="Times New Roman" w:hAnsi="Times New Roman"/>
                <w:b/>
                <w:bCs/>
                <w:sz w:val="24"/>
                <w:szCs w:val="24"/>
                <w:lang w:val="en-GB"/>
              </w:rPr>
              <w:t>Sent</w:t>
            </w:r>
            <w:r w:rsidR="00DE09D8">
              <w:rPr>
                <w:rFonts w:ascii="Times New Roman" w:hAnsi="Times New Roman"/>
                <w:b/>
                <w:bCs/>
                <w:sz w:val="24"/>
                <w:szCs w:val="24"/>
                <w:lang w:val="en-GB"/>
              </w:rPr>
              <w:t xml:space="preserve"> </w:t>
            </w:r>
            <w:r w:rsidR="00DE09D8" w:rsidRPr="000F1F24">
              <w:rPr>
                <w:rFonts w:ascii="Times New Roman" w:hAnsi="Times New Roman"/>
                <w:i/>
                <w:lang w:val="en-GB"/>
              </w:rPr>
              <w:t>(</w:t>
            </w:r>
            <w:r w:rsidR="00DE09D8">
              <w:rPr>
                <w:rFonts w:ascii="Times New Roman" w:hAnsi="Times New Roman"/>
                <w:i/>
                <w:sz w:val="24"/>
                <w:szCs w:val="24"/>
                <w:lang w:val="en-GB"/>
              </w:rPr>
              <w:t>refers to worksheets 8.1-8</w:t>
            </w:r>
            <w:r w:rsidR="00DE09D8" w:rsidRPr="000F1F24">
              <w:rPr>
                <w:rFonts w:ascii="Times New Roman" w:hAnsi="Times New Roman"/>
                <w:i/>
                <w:sz w:val="24"/>
                <w:szCs w:val="24"/>
                <w:lang w:val="en-GB"/>
              </w:rPr>
              <w:t>.3</w:t>
            </w:r>
            <w:r w:rsidR="00DE09D8" w:rsidRPr="000F1F24">
              <w:rPr>
                <w:rFonts w:ascii="Times New Roman" w:hAnsi="Times New Roman"/>
                <w:i/>
                <w:lang w:val="en-GB"/>
              </w:rPr>
              <w:t>)</w:t>
            </w:r>
          </w:p>
        </w:tc>
      </w:tr>
      <w:bookmarkEnd w:id="47"/>
      <w:tr w:rsidR="00591697" w:rsidRPr="00F53249" w14:paraId="51765B2A" w14:textId="77777777" w:rsidTr="00F40693">
        <w:tc>
          <w:tcPr>
            <w:tcW w:w="2483" w:type="dxa"/>
          </w:tcPr>
          <w:p w14:paraId="0BE5D15D" w14:textId="77777777" w:rsidR="00591697" w:rsidRPr="00FB6888" w:rsidRDefault="00591697" w:rsidP="003D1E63">
            <w:pPr>
              <w:spacing w:after="120" w:line="360" w:lineRule="auto"/>
              <w:rPr>
                <w:rFonts w:ascii="Times New Roman" w:hAnsi="Times New Roman"/>
                <w:b/>
                <w:sz w:val="24"/>
                <w:szCs w:val="24"/>
                <w:lang w:val="en-GB"/>
              </w:rPr>
            </w:pPr>
            <w:r w:rsidRPr="00FB6888">
              <w:rPr>
                <w:rFonts w:ascii="Times New Roman" w:hAnsi="Times New Roman"/>
                <w:b/>
                <w:sz w:val="24"/>
                <w:szCs w:val="24"/>
                <w:lang w:val="en-GB"/>
              </w:rPr>
              <w:t>Cash withdrawals using card-based payment instruments (except e-money transactions) (total)</w:t>
            </w:r>
          </w:p>
        </w:tc>
        <w:tc>
          <w:tcPr>
            <w:tcW w:w="7151" w:type="dxa"/>
          </w:tcPr>
          <w:p w14:paraId="0A9D86AC" w14:textId="51642413" w:rsidR="005A2014" w:rsidRDefault="00591697" w:rsidP="00306AEE">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Report the number and value of cash withdrawal at an ATM</w:t>
            </w:r>
            <w:r w:rsidR="00B64953">
              <w:rPr>
                <w:rFonts w:ascii="Times New Roman" w:hAnsi="Times New Roman"/>
                <w:sz w:val="24"/>
                <w:szCs w:val="24"/>
                <w:lang w:val="en-GB"/>
              </w:rPr>
              <w:t xml:space="preserve"> or </w:t>
            </w:r>
            <w:r w:rsidR="00B64953" w:rsidRPr="00F84925">
              <w:rPr>
                <w:rFonts w:ascii="Times New Roman" w:hAnsi="Times New Roman"/>
                <w:lang w:val="en-GB"/>
              </w:rPr>
              <w:t>cash advances at POS terminals</w:t>
            </w:r>
            <w:r w:rsidRPr="00760F3B">
              <w:rPr>
                <w:rFonts w:ascii="Times New Roman" w:hAnsi="Times New Roman"/>
                <w:sz w:val="24"/>
                <w:szCs w:val="24"/>
                <w:lang w:val="en-GB"/>
              </w:rPr>
              <w:t xml:space="preserve"> or at the counter of a PSP using a card with a cash function</w:t>
            </w:r>
            <w:r w:rsidR="0019445D">
              <w:rPr>
                <w:rStyle w:val="FootnoteReference"/>
                <w:rFonts w:ascii="Times New Roman" w:hAnsi="Times New Roman"/>
                <w:sz w:val="24"/>
                <w:szCs w:val="24"/>
                <w:lang w:val="en-GB"/>
              </w:rPr>
              <w:footnoteReference w:id="74"/>
            </w:r>
            <w:r w:rsidRPr="00760F3B">
              <w:rPr>
                <w:rFonts w:ascii="Times New Roman" w:hAnsi="Times New Roman"/>
                <w:sz w:val="24"/>
                <w:szCs w:val="24"/>
                <w:lang w:val="en-GB"/>
              </w:rPr>
              <w:t>.</w:t>
            </w:r>
            <w:r w:rsidR="00485F70">
              <w:rPr>
                <w:rFonts w:ascii="Times New Roman" w:hAnsi="Times New Roman"/>
                <w:sz w:val="24"/>
                <w:szCs w:val="24"/>
                <w:lang w:val="en-GB"/>
              </w:rPr>
              <w:t xml:space="preserve"> </w:t>
            </w:r>
            <w:r w:rsidR="007E0172">
              <w:rPr>
                <w:rFonts w:ascii="Times New Roman" w:hAnsi="Times New Roman"/>
                <w:sz w:val="24"/>
                <w:szCs w:val="24"/>
                <w:lang w:val="en-GB"/>
              </w:rPr>
              <w:t>Cash withdrawals are reported by the card issuer.</w:t>
            </w:r>
          </w:p>
          <w:p w14:paraId="58443C90" w14:textId="6AD7A94F" w:rsidR="000433F1" w:rsidRDefault="00306AEE" w:rsidP="00DE4B70">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Transactions are broken </w:t>
            </w:r>
            <w:r w:rsidR="00547EEE">
              <w:rPr>
                <w:rFonts w:ascii="Times New Roman" w:hAnsi="Times New Roman"/>
                <w:sz w:val="24"/>
                <w:szCs w:val="24"/>
                <w:lang w:val="en-GB"/>
              </w:rPr>
              <w:t xml:space="preserve">down </w:t>
            </w:r>
            <w:r>
              <w:rPr>
                <w:rFonts w:ascii="Times New Roman" w:hAnsi="Times New Roman"/>
                <w:sz w:val="24"/>
                <w:szCs w:val="24"/>
                <w:lang w:val="en-GB"/>
              </w:rPr>
              <w:t xml:space="preserve">into each </w:t>
            </w:r>
            <w:r w:rsidR="005B7F71">
              <w:rPr>
                <w:rFonts w:ascii="Times New Roman" w:hAnsi="Times New Roman"/>
                <w:sz w:val="24"/>
                <w:szCs w:val="24"/>
                <w:lang w:val="en-GB"/>
              </w:rPr>
              <w:t>PCS</w:t>
            </w:r>
            <w:r w:rsidR="00930714" w:rsidRPr="00DE4B70">
              <w:rPr>
                <w:rStyle w:val="FootnoteReference"/>
                <w:rFonts w:ascii="Times New Roman" w:hAnsi="Times New Roman"/>
                <w:sz w:val="24"/>
                <w:szCs w:val="24"/>
                <w:lang w:val="en-GB"/>
              </w:rPr>
              <w:fldChar w:fldCharType="begin"/>
            </w:r>
            <w:r w:rsidR="00930714" w:rsidRPr="00DE4B70">
              <w:rPr>
                <w:rStyle w:val="FootnoteReference"/>
                <w:rFonts w:ascii="Times New Roman" w:hAnsi="Times New Roman"/>
                <w:sz w:val="24"/>
                <w:szCs w:val="24"/>
                <w:lang w:val="en-GB"/>
              </w:rPr>
              <w:instrText xml:space="preserve"> NOTEREF _Ref75439449 \h  \* MERGEFORMAT </w:instrText>
            </w:r>
            <w:r w:rsidR="00930714" w:rsidRPr="00DE4B70">
              <w:rPr>
                <w:rStyle w:val="FootnoteReference"/>
                <w:rFonts w:ascii="Times New Roman" w:hAnsi="Times New Roman"/>
                <w:sz w:val="24"/>
                <w:szCs w:val="24"/>
                <w:lang w:val="en-GB"/>
              </w:rPr>
            </w:r>
            <w:r w:rsidR="00930714" w:rsidRPr="00DE4B7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23</w:t>
            </w:r>
            <w:r w:rsidR="00930714" w:rsidRPr="00DE4B70">
              <w:rPr>
                <w:rStyle w:val="FootnoteReference"/>
                <w:rFonts w:ascii="Times New Roman" w:hAnsi="Times New Roman"/>
                <w:sz w:val="24"/>
                <w:szCs w:val="24"/>
                <w:lang w:val="en-GB"/>
              </w:rPr>
              <w:fldChar w:fldCharType="end"/>
            </w:r>
            <w:r w:rsidRPr="00DE4B70">
              <w:rPr>
                <w:rFonts w:ascii="Times New Roman" w:hAnsi="Times New Roman"/>
                <w:sz w:val="24"/>
                <w:szCs w:val="24"/>
                <w:lang w:val="en-GB"/>
              </w:rPr>
              <w:t xml:space="preserve"> (</w:t>
            </w:r>
            <w:r w:rsidR="00547EEE" w:rsidRPr="00DE4B70">
              <w:rPr>
                <w:rFonts w:ascii="Times New Roman" w:hAnsi="Times New Roman"/>
                <w:sz w:val="24"/>
                <w:szCs w:val="24"/>
                <w:lang w:val="en-GB"/>
              </w:rPr>
              <w:t xml:space="preserve">i.e. </w:t>
            </w:r>
            <w:r w:rsidRPr="00DE4B70">
              <w:rPr>
                <w:rFonts w:ascii="Times New Roman" w:hAnsi="Times New Roman"/>
                <w:sz w:val="24"/>
                <w:szCs w:val="24"/>
                <w:lang w:val="en-GB"/>
              </w:rPr>
              <w:t xml:space="preserve">VISA, Master Card, American Express, Diners </w:t>
            </w:r>
            <w:r w:rsidR="00547EEE" w:rsidRPr="00DE4B70">
              <w:rPr>
                <w:rFonts w:ascii="Times New Roman" w:hAnsi="Times New Roman"/>
                <w:sz w:val="24"/>
                <w:szCs w:val="24"/>
                <w:lang w:val="en-GB"/>
              </w:rPr>
              <w:t>Club, China Union Pay, Discover and</w:t>
            </w:r>
            <w:r w:rsidRPr="00DE4B70">
              <w:rPr>
                <w:rFonts w:ascii="Times New Roman" w:hAnsi="Times New Roman"/>
                <w:sz w:val="24"/>
                <w:szCs w:val="24"/>
                <w:lang w:val="en-GB"/>
              </w:rPr>
              <w:t xml:space="preserve"> JCB). </w:t>
            </w:r>
          </w:p>
          <w:p w14:paraId="4CD45679" w14:textId="77777777" w:rsidR="0060127A" w:rsidRDefault="0060127A" w:rsidP="0060127A">
            <w:pPr>
              <w:spacing w:after="120" w:line="360" w:lineRule="auto"/>
              <w:jc w:val="both"/>
              <w:rPr>
                <w:rFonts w:ascii="Times New Roman" w:hAnsi="Times New Roman"/>
                <w:sz w:val="24"/>
                <w:szCs w:val="24"/>
                <w:lang w:val="en-GB"/>
              </w:rPr>
            </w:pPr>
            <w:r>
              <w:rPr>
                <w:rFonts w:ascii="Times New Roman" w:hAnsi="Times New Roman"/>
                <w:sz w:val="24"/>
                <w:szCs w:val="24"/>
                <w:lang w:val="en-GB"/>
              </w:rPr>
              <w:lastRenderedPageBreak/>
              <w:t xml:space="preserve">For </w:t>
            </w:r>
            <w:r w:rsidRPr="0060127A">
              <w:rPr>
                <w:rFonts w:ascii="Times New Roman" w:hAnsi="Times New Roman"/>
                <w:sz w:val="24"/>
                <w:szCs w:val="24"/>
                <w:lang w:val="en-GB"/>
              </w:rPr>
              <w:t>PCSs other than VISA and MasterCard, the Reporting Agents should select from the drop-down list the applicable PCS and include the relevant information</w:t>
            </w:r>
            <w:r>
              <w:rPr>
                <w:rFonts w:ascii="Times New Roman" w:hAnsi="Times New Roman"/>
                <w:sz w:val="24"/>
                <w:szCs w:val="24"/>
                <w:lang w:val="en-GB"/>
              </w:rPr>
              <w:t xml:space="preserve"> in excel-sheet ‘8.3’</w:t>
            </w:r>
            <w:r w:rsidRPr="0060127A">
              <w:rPr>
                <w:rFonts w:ascii="Times New Roman" w:hAnsi="Times New Roman"/>
                <w:sz w:val="24"/>
                <w:szCs w:val="24"/>
                <w:lang w:val="en-GB"/>
              </w:rPr>
              <w:t xml:space="preserve">. In case that information needs to be reported for more than 1 PSC (other than VISA and MasterCard), then the Reporting Agent should copy and paste </w:t>
            </w:r>
            <w:r>
              <w:rPr>
                <w:rFonts w:ascii="Times New Roman" w:hAnsi="Times New Roman"/>
                <w:sz w:val="24"/>
                <w:szCs w:val="24"/>
                <w:lang w:val="en-GB"/>
              </w:rPr>
              <w:t>excel-sheet</w:t>
            </w:r>
            <w:r w:rsidRPr="0060127A">
              <w:rPr>
                <w:rFonts w:ascii="Times New Roman" w:hAnsi="Times New Roman"/>
                <w:sz w:val="24"/>
                <w:szCs w:val="24"/>
                <w:lang w:val="en-GB"/>
              </w:rPr>
              <w:t xml:space="preserve"> ‘</w:t>
            </w:r>
            <w:r>
              <w:rPr>
                <w:rFonts w:ascii="Times New Roman" w:hAnsi="Times New Roman"/>
                <w:sz w:val="24"/>
                <w:szCs w:val="24"/>
                <w:lang w:val="en-GB"/>
              </w:rPr>
              <w:t>8.3’</w:t>
            </w:r>
            <w:r w:rsidRPr="0060127A">
              <w:rPr>
                <w:rFonts w:ascii="Times New Roman" w:hAnsi="Times New Roman"/>
                <w:sz w:val="24"/>
                <w:szCs w:val="24"/>
                <w:lang w:val="en-GB"/>
              </w:rPr>
              <w:t xml:space="preserve"> to include information.</w:t>
            </w:r>
            <w:r>
              <w:rPr>
                <w:rFonts w:ascii="Times New Roman" w:hAnsi="Times New Roman"/>
                <w:sz w:val="24"/>
                <w:szCs w:val="24"/>
                <w:lang w:val="en-GB"/>
              </w:rPr>
              <w:t xml:space="preserve"> </w:t>
            </w:r>
          </w:p>
          <w:p w14:paraId="09064AF5" w14:textId="1F170D5C" w:rsidR="00306AEE" w:rsidRPr="00760F3B" w:rsidRDefault="00306AEE" w:rsidP="00DE4B70">
            <w:pPr>
              <w:spacing w:after="120" w:line="360" w:lineRule="auto"/>
              <w:jc w:val="both"/>
              <w:rPr>
                <w:rFonts w:ascii="Times New Roman" w:hAnsi="Times New Roman"/>
                <w:sz w:val="24"/>
                <w:szCs w:val="24"/>
                <w:lang w:val="en-GB"/>
              </w:rPr>
            </w:pPr>
            <w:r w:rsidRPr="00DE4B70">
              <w:rPr>
                <w:rFonts w:ascii="Times New Roman" w:hAnsi="Times New Roman"/>
                <w:sz w:val="24"/>
                <w:szCs w:val="24"/>
                <w:lang w:val="en-GB"/>
              </w:rPr>
              <w:t xml:space="preserve">Furthermore, transactions are </w:t>
            </w:r>
            <w:r w:rsidR="003835F5" w:rsidRPr="00DE4B70">
              <w:rPr>
                <w:rFonts w:ascii="Times New Roman" w:hAnsi="Times New Roman"/>
                <w:sz w:val="24"/>
                <w:szCs w:val="24"/>
                <w:lang w:val="en-GB"/>
              </w:rPr>
              <w:t>broken into</w:t>
            </w:r>
            <w:r w:rsidRPr="00DE4B70">
              <w:rPr>
                <w:rFonts w:ascii="Times New Roman" w:hAnsi="Times New Roman"/>
                <w:sz w:val="24"/>
                <w:szCs w:val="24"/>
                <w:lang w:val="en-GB"/>
              </w:rPr>
              <w:t xml:space="preserve"> each card function (i.e. debit</w:t>
            </w:r>
            <w:r w:rsidR="00DE4B70" w:rsidRPr="00DE4B70">
              <w:rPr>
                <w:rStyle w:val="FootnoteReference"/>
                <w:rFonts w:ascii="Times New Roman" w:hAnsi="Times New Roman"/>
                <w:sz w:val="24"/>
                <w:szCs w:val="24"/>
                <w:lang w:val="en-GB"/>
              </w:rPr>
              <w:fldChar w:fldCharType="begin"/>
            </w:r>
            <w:r w:rsidR="00DE4B70" w:rsidRPr="00DE4B70">
              <w:rPr>
                <w:rStyle w:val="FootnoteReference"/>
                <w:rFonts w:ascii="Times New Roman" w:hAnsi="Times New Roman"/>
                <w:sz w:val="24"/>
                <w:szCs w:val="24"/>
                <w:lang w:val="en-GB"/>
              </w:rPr>
              <w:instrText xml:space="preserve"> NOTEREF _Ref75439911 \h  \* MERGEFORMAT </w:instrText>
            </w:r>
            <w:r w:rsidR="00DE4B70" w:rsidRPr="00DE4B70">
              <w:rPr>
                <w:rStyle w:val="FootnoteReference"/>
                <w:rFonts w:ascii="Times New Roman" w:hAnsi="Times New Roman"/>
                <w:sz w:val="24"/>
                <w:szCs w:val="24"/>
                <w:lang w:val="en-GB"/>
              </w:rPr>
            </w:r>
            <w:r w:rsidR="00DE4B70" w:rsidRPr="00DE4B7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20</w:t>
            </w:r>
            <w:r w:rsidR="00DE4B70" w:rsidRPr="00DE4B70">
              <w:rPr>
                <w:rStyle w:val="FootnoteReference"/>
                <w:rFonts w:ascii="Times New Roman" w:hAnsi="Times New Roman"/>
                <w:sz w:val="24"/>
                <w:szCs w:val="24"/>
                <w:lang w:val="en-GB"/>
              </w:rPr>
              <w:fldChar w:fldCharType="end"/>
            </w:r>
            <w:r w:rsidRPr="00DE4B70">
              <w:rPr>
                <w:rFonts w:ascii="Times New Roman" w:hAnsi="Times New Roman"/>
                <w:sz w:val="24"/>
                <w:szCs w:val="24"/>
                <w:lang w:val="en-GB"/>
              </w:rPr>
              <w:t>, delayed debit</w:t>
            </w:r>
            <w:r w:rsidR="00DE4B70" w:rsidRPr="00DE4B70">
              <w:rPr>
                <w:rStyle w:val="FootnoteReference"/>
                <w:rFonts w:ascii="Times New Roman" w:hAnsi="Times New Roman"/>
                <w:sz w:val="24"/>
                <w:szCs w:val="24"/>
                <w:lang w:val="en-GB"/>
              </w:rPr>
              <w:fldChar w:fldCharType="begin"/>
            </w:r>
            <w:r w:rsidR="00DE4B70" w:rsidRPr="00DE4B70">
              <w:rPr>
                <w:rStyle w:val="FootnoteReference"/>
                <w:rFonts w:ascii="Times New Roman" w:hAnsi="Times New Roman"/>
                <w:sz w:val="24"/>
                <w:szCs w:val="24"/>
                <w:lang w:val="en-GB"/>
              </w:rPr>
              <w:instrText xml:space="preserve"> NOTEREF _Ref75439932 \h  \* MERGEFORMAT </w:instrText>
            </w:r>
            <w:r w:rsidR="00DE4B70" w:rsidRPr="00DE4B70">
              <w:rPr>
                <w:rStyle w:val="FootnoteReference"/>
                <w:rFonts w:ascii="Times New Roman" w:hAnsi="Times New Roman"/>
                <w:sz w:val="24"/>
                <w:szCs w:val="24"/>
                <w:lang w:val="en-GB"/>
              </w:rPr>
            </w:r>
            <w:r w:rsidR="00DE4B70" w:rsidRPr="00DE4B7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21</w:t>
            </w:r>
            <w:r w:rsidR="00DE4B70" w:rsidRPr="00DE4B70">
              <w:rPr>
                <w:rStyle w:val="FootnoteReference"/>
                <w:rFonts w:ascii="Times New Roman" w:hAnsi="Times New Roman"/>
                <w:sz w:val="24"/>
                <w:szCs w:val="24"/>
                <w:lang w:val="en-GB"/>
              </w:rPr>
              <w:fldChar w:fldCharType="end"/>
            </w:r>
            <w:r w:rsidRPr="00DE4B70">
              <w:rPr>
                <w:rFonts w:ascii="Times New Roman" w:hAnsi="Times New Roman"/>
                <w:sz w:val="24"/>
                <w:szCs w:val="24"/>
                <w:lang w:val="en-GB"/>
              </w:rPr>
              <w:t xml:space="preserve"> and credit</w:t>
            </w:r>
            <w:r w:rsidR="00DE4B70" w:rsidRPr="00DE4B70">
              <w:rPr>
                <w:rStyle w:val="FootnoteReference"/>
                <w:rFonts w:ascii="Times New Roman" w:hAnsi="Times New Roman"/>
                <w:sz w:val="24"/>
                <w:szCs w:val="24"/>
                <w:lang w:val="en-GB"/>
              </w:rPr>
              <w:fldChar w:fldCharType="begin"/>
            </w:r>
            <w:r w:rsidR="00DE4B70" w:rsidRPr="00DE4B70">
              <w:rPr>
                <w:rStyle w:val="FootnoteReference"/>
                <w:rFonts w:ascii="Times New Roman" w:hAnsi="Times New Roman"/>
                <w:sz w:val="24"/>
                <w:szCs w:val="24"/>
                <w:lang w:val="en-GB"/>
              </w:rPr>
              <w:instrText xml:space="preserve"> NOTEREF _Ref75439942 \h  \* MERGEFORMAT </w:instrText>
            </w:r>
            <w:r w:rsidR="00DE4B70" w:rsidRPr="00DE4B70">
              <w:rPr>
                <w:rStyle w:val="FootnoteReference"/>
                <w:rFonts w:ascii="Times New Roman" w:hAnsi="Times New Roman"/>
                <w:sz w:val="24"/>
                <w:szCs w:val="24"/>
                <w:lang w:val="en-GB"/>
              </w:rPr>
            </w:r>
            <w:r w:rsidR="00DE4B70" w:rsidRPr="00DE4B7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22</w:t>
            </w:r>
            <w:r w:rsidR="00DE4B70" w:rsidRPr="00DE4B70">
              <w:rPr>
                <w:rStyle w:val="FootnoteReference"/>
                <w:rFonts w:ascii="Times New Roman" w:hAnsi="Times New Roman"/>
                <w:sz w:val="24"/>
                <w:szCs w:val="24"/>
                <w:lang w:val="en-GB"/>
              </w:rPr>
              <w:fldChar w:fldCharType="end"/>
            </w:r>
            <w:r w:rsidRPr="00DE4B70">
              <w:rPr>
                <w:rFonts w:ascii="Times New Roman" w:hAnsi="Times New Roman"/>
                <w:sz w:val="24"/>
                <w:szCs w:val="24"/>
                <w:lang w:val="en-GB"/>
              </w:rPr>
              <w:t>).</w:t>
            </w:r>
          </w:p>
        </w:tc>
      </w:tr>
    </w:tbl>
    <w:p w14:paraId="44944302" w14:textId="77777777" w:rsidR="0019445D" w:rsidRPr="00760F3B" w:rsidRDefault="0019445D"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2D0B39BF" w14:textId="77777777" w:rsidTr="00F40693">
        <w:tc>
          <w:tcPr>
            <w:tcW w:w="9634" w:type="dxa"/>
            <w:gridSpan w:val="2"/>
            <w:shd w:val="clear" w:color="auto" w:fill="003199"/>
          </w:tcPr>
          <w:p w14:paraId="06DB7B06" w14:textId="4551D329" w:rsidR="00591697" w:rsidRPr="00760F3B" w:rsidRDefault="00CC4F19" w:rsidP="008B5D33">
            <w:pPr>
              <w:spacing w:after="120" w:line="360" w:lineRule="auto"/>
              <w:jc w:val="both"/>
              <w:rPr>
                <w:rFonts w:ascii="Times New Roman" w:hAnsi="Times New Roman"/>
                <w:b/>
                <w:bCs/>
                <w:sz w:val="24"/>
                <w:szCs w:val="24"/>
                <w:lang w:val="en-GB"/>
              </w:rPr>
            </w:pPr>
            <w:r>
              <w:rPr>
                <w:rFonts w:ascii="Times New Roman" w:hAnsi="Times New Roman"/>
                <w:b/>
                <w:bCs/>
                <w:sz w:val="24"/>
                <w:szCs w:val="24"/>
                <w:lang w:val="en-GB"/>
              </w:rPr>
              <w:t>E-M</w:t>
            </w:r>
            <w:r w:rsidR="00591697" w:rsidRPr="00760F3B">
              <w:rPr>
                <w:rFonts w:ascii="Times New Roman" w:hAnsi="Times New Roman"/>
                <w:b/>
                <w:bCs/>
                <w:sz w:val="24"/>
                <w:szCs w:val="24"/>
                <w:lang w:val="en-GB"/>
              </w:rPr>
              <w:t>on</w:t>
            </w:r>
            <w:r>
              <w:rPr>
                <w:rFonts w:ascii="Times New Roman" w:hAnsi="Times New Roman"/>
                <w:b/>
                <w:bCs/>
                <w:sz w:val="24"/>
                <w:szCs w:val="24"/>
                <w:lang w:val="en-GB"/>
              </w:rPr>
              <w:t>ey Payment T</w:t>
            </w:r>
            <w:r w:rsidR="001E5672">
              <w:rPr>
                <w:rFonts w:ascii="Times New Roman" w:hAnsi="Times New Roman"/>
                <w:b/>
                <w:bCs/>
                <w:sz w:val="24"/>
                <w:szCs w:val="24"/>
                <w:lang w:val="en-GB"/>
              </w:rPr>
              <w:t xml:space="preserve">ransactions </w:t>
            </w:r>
            <w:r>
              <w:rPr>
                <w:rFonts w:ascii="Times New Roman" w:hAnsi="Times New Roman"/>
                <w:b/>
                <w:bCs/>
                <w:sz w:val="24"/>
                <w:szCs w:val="24"/>
                <w:lang w:val="en-GB"/>
              </w:rPr>
              <w:t>Sent/ R</w:t>
            </w:r>
            <w:r w:rsidR="001B4E21">
              <w:rPr>
                <w:rFonts w:ascii="Times New Roman" w:hAnsi="Times New Roman"/>
                <w:b/>
                <w:bCs/>
                <w:sz w:val="24"/>
                <w:szCs w:val="24"/>
                <w:lang w:val="en-GB"/>
              </w:rPr>
              <w:t>eceived</w:t>
            </w:r>
            <w:r w:rsidR="001E5672">
              <w:rPr>
                <w:rFonts w:ascii="Times New Roman" w:hAnsi="Times New Roman"/>
                <w:b/>
                <w:bCs/>
                <w:sz w:val="24"/>
                <w:szCs w:val="24"/>
                <w:lang w:val="en-GB"/>
              </w:rPr>
              <w:t xml:space="preserve"> </w:t>
            </w:r>
            <w:r w:rsidR="008B5D33" w:rsidRPr="000F1F24">
              <w:rPr>
                <w:rFonts w:ascii="Times New Roman" w:hAnsi="Times New Roman"/>
                <w:i/>
                <w:lang w:val="en-GB"/>
              </w:rPr>
              <w:t>(</w:t>
            </w:r>
            <w:r w:rsidR="008B5D33">
              <w:rPr>
                <w:rFonts w:ascii="Times New Roman" w:hAnsi="Times New Roman"/>
                <w:i/>
                <w:sz w:val="24"/>
                <w:szCs w:val="24"/>
                <w:lang w:val="en-GB"/>
              </w:rPr>
              <w:t>refers to worksheets 9 &amp; 11</w:t>
            </w:r>
            <w:r w:rsidR="008B5D33" w:rsidRPr="000F1F24">
              <w:rPr>
                <w:rFonts w:ascii="Times New Roman" w:hAnsi="Times New Roman"/>
                <w:i/>
                <w:lang w:val="en-GB"/>
              </w:rPr>
              <w:t>)</w:t>
            </w:r>
          </w:p>
        </w:tc>
      </w:tr>
      <w:tr w:rsidR="00591697" w:rsidRPr="00F53249" w14:paraId="72BECD6C" w14:textId="77777777" w:rsidTr="00F40693">
        <w:tc>
          <w:tcPr>
            <w:tcW w:w="2483" w:type="dxa"/>
          </w:tcPr>
          <w:p w14:paraId="22B32071" w14:textId="34D8D45F" w:rsidR="00591697" w:rsidRPr="00FB6888" w:rsidRDefault="00591697" w:rsidP="003D1E63">
            <w:pPr>
              <w:spacing w:after="120" w:line="360" w:lineRule="auto"/>
              <w:rPr>
                <w:rFonts w:ascii="Times New Roman" w:hAnsi="Times New Roman"/>
                <w:b/>
                <w:sz w:val="24"/>
                <w:szCs w:val="24"/>
                <w:lang w:val="en-GB"/>
              </w:rPr>
            </w:pPr>
            <w:r w:rsidRPr="00FB6888">
              <w:rPr>
                <w:rFonts w:ascii="Times New Roman" w:hAnsi="Times New Roman"/>
                <w:b/>
                <w:sz w:val="24"/>
                <w:szCs w:val="24"/>
                <w:lang w:val="en-GB"/>
              </w:rPr>
              <w:t>E-money payment transactions with e-money issued by resident PSPs (total)</w:t>
            </w:r>
            <w:r w:rsidR="007036C9">
              <w:rPr>
                <w:rStyle w:val="FootnoteReference"/>
                <w:rFonts w:ascii="Times New Roman" w:hAnsi="Times New Roman"/>
                <w:b/>
                <w:sz w:val="24"/>
                <w:szCs w:val="24"/>
                <w:lang w:val="en-GB"/>
              </w:rPr>
              <w:footnoteReference w:id="75"/>
            </w:r>
          </w:p>
        </w:tc>
        <w:tc>
          <w:tcPr>
            <w:tcW w:w="7151" w:type="dxa"/>
          </w:tcPr>
          <w:p w14:paraId="4CF0508A" w14:textId="590A3E33" w:rsidR="00591697" w:rsidRPr="00BD4BEB" w:rsidRDefault="00591697" w:rsidP="00760F3B">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Report the number and value of e-money transactions which are counted as either sent or received according to the initiation side (in particular, if </w:t>
            </w:r>
            <w:r w:rsidRPr="00BD4BEB">
              <w:rPr>
                <w:rFonts w:ascii="Times New Roman" w:hAnsi="Times New Roman"/>
                <w:sz w:val="24"/>
                <w:szCs w:val="24"/>
                <w:lang w:val="en-GB"/>
              </w:rPr>
              <w:t xml:space="preserve">initiated by the payee they are counted as received from the payer’s side). </w:t>
            </w:r>
          </w:p>
          <w:p w14:paraId="790109AF" w14:textId="1F2E7691" w:rsidR="00BD4BEB" w:rsidRDefault="00BD4BEB" w:rsidP="00760F3B">
            <w:pPr>
              <w:spacing w:after="120" w:line="360" w:lineRule="auto"/>
              <w:jc w:val="both"/>
              <w:rPr>
                <w:rFonts w:ascii="Times New Roman" w:hAnsi="Times New Roman"/>
                <w:sz w:val="24"/>
                <w:szCs w:val="24"/>
                <w:lang w:val="en-GB"/>
              </w:rPr>
            </w:pPr>
            <w:r w:rsidRPr="00BD4BEB">
              <w:rPr>
                <w:rFonts w:ascii="Times New Roman" w:hAnsi="Times New Roman"/>
                <w:sz w:val="24"/>
                <w:szCs w:val="24"/>
                <w:lang w:val="en-GB"/>
              </w:rPr>
              <w:t xml:space="preserve">The issuer (payer’s PSP) reports sent e-money payment transactions with cards with an e-money </w:t>
            </w:r>
            <w:proofErr w:type="gramStart"/>
            <w:r w:rsidRPr="00BD4BEB">
              <w:rPr>
                <w:rFonts w:ascii="Times New Roman" w:hAnsi="Times New Roman"/>
                <w:sz w:val="24"/>
                <w:szCs w:val="24"/>
                <w:lang w:val="en-GB"/>
              </w:rPr>
              <w:t>function</w:t>
            </w:r>
            <w:proofErr w:type="gramEnd"/>
            <w:r w:rsidRPr="00BD4BEB">
              <w:rPr>
                <w:rFonts w:ascii="Times New Roman" w:hAnsi="Times New Roman"/>
                <w:sz w:val="24"/>
                <w:szCs w:val="24"/>
                <w:lang w:val="en-GB"/>
              </w:rPr>
              <w:t xml:space="preserve"> and the acquirer (payee’s PSP) reports received e-money payment transactions with cards with an e-money function</w:t>
            </w:r>
            <w:r w:rsidR="004876B7">
              <w:rPr>
                <w:rFonts w:ascii="Times New Roman" w:hAnsi="Times New Roman"/>
                <w:sz w:val="24"/>
                <w:szCs w:val="24"/>
                <w:lang w:val="en-GB"/>
              </w:rPr>
              <w:t xml:space="preserve"> (apart from reporting such transactions in Sections (a) and (b) of worksheet 4)</w:t>
            </w:r>
            <w:r w:rsidRPr="00BD4BEB">
              <w:rPr>
                <w:rFonts w:ascii="Times New Roman" w:hAnsi="Times New Roman"/>
                <w:sz w:val="24"/>
                <w:szCs w:val="24"/>
                <w:lang w:val="en-GB"/>
              </w:rPr>
              <w:t>.</w:t>
            </w:r>
            <w:r w:rsidR="004876B7">
              <w:rPr>
                <w:rFonts w:ascii="Times New Roman" w:hAnsi="Times New Roman"/>
                <w:sz w:val="24"/>
                <w:szCs w:val="24"/>
                <w:lang w:val="en-GB"/>
              </w:rPr>
              <w:t xml:space="preserve"> </w:t>
            </w:r>
          </w:p>
          <w:p w14:paraId="03151E4A" w14:textId="77777777" w:rsidR="00944CE6" w:rsidRDefault="00290DD9" w:rsidP="003C4713">
            <w:pPr>
              <w:spacing w:after="120" w:line="360" w:lineRule="auto"/>
              <w:jc w:val="both"/>
              <w:rPr>
                <w:rFonts w:ascii="Times New Roman" w:hAnsi="Times New Roman"/>
                <w:sz w:val="24"/>
                <w:szCs w:val="24"/>
                <w:lang w:val="en-GB"/>
              </w:rPr>
            </w:pPr>
            <w:r w:rsidRPr="00290DD9">
              <w:rPr>
                <w:rFonts w:ascii="Times New Roman" w:hAnsi="Times New Roman"/>
                <w:sz w:val="24"/>
                <w:szCs w:val="24"/>
                <w:lang w:val="en-GB"/>
              </w:rPr>
              <w:t xml:space="preserve">The transfer of funds from an e-wallet/e-money account to a normal bank account via a SEPA credit transfer, and the transfer made from an e-wallet account (i) to another e-wallet account held at the same PSP or (ii) to another e-wallet account held at a different PSP via a SEPA credit transfer should be reported as a credit transfer and not as an e-money payment transaction, even if the funds come from an e-money account (the unloading transaction which the payer’s PSP performs to unload the amount of the transaction from the payer’s e-money account is not included as a separate payment transaction). The payment instrument/service used to transfer funds from the account to another </w:t>
            </w:r>
            <w:r w:rsidRPr="00290DD9">
              <w:rPr>
                <w:rFonts w:ascii="Times New Roman" w:hAnsi="Times New Roman"/>
                <w:sz w:val="24"/>
                <w:szCs w:val="24"/>
                <w:lang w:val="en-GB"/>
              </w:rPr>
              <w:lastRenderedPageBreak/>
              <w:t xml:space="preserve">account defines the reporting. The payment transaction is reported according to the form of payment transaction the payer initiates, regardless </w:t>
            </w:r>
            <w:r w:rsidR="00BD32E4">
              <w:rPr>
                <w:rFonts w:ascii="Times New Roman" w:hAnsi="Times New Roman"/>
                <w:sz w:val="24"/>
                <w:szCs w:val="24"/>
                <w:lang w:val="en-GB"/>
              </w:rPr>
              <w:t>of the account the payee holds.</w:t>
            </w:r>
          </w:p>
          <w:p w14:paraId="3A4E8E88" w14:textId="44096F37" w:rsidR="00941EF2" w:rsidRPr="001E5672" w:rsidRDefault="00941EF2" w:rsidP="00941EF2">
            <w:pPr>
              <w:spacing w:after="120" w:line="360" w:lineRule="auto"/>
              <w:jc w:val="both"/>
              <w:rPr>
                <w:rFonts w:ascii="Times New Roman" w:hAnsi="Times New Roman"/>
                <w:sz w:val="24"/>
                <w:szCs w:val="24"/>
                <w:lang w:val="en-GB"/>
              </w:rPr>
            </w:pPr>
            <w:r w:rsidRPr="00941EF2">
              <w:rPr>
                <w:rFonts w:ascii="Times New Roman" w:hAnsi="Times New Roman"/>
                <w:sz w:val="24"/>
                <w:szCs w:val="24"/>
                <w:lang w:val="en-GB"/>
              </w:rPr>
              <w:t>For payment transactions with cards with e-money function only, the counterpart area refers to the location of the acquirer for sent transaction and to the location of issuer for received transactions.</w:t>
            </w:r>
          </w:p>
        </w:tc>
      </w:tr>
      <w:tr w:rsidR="00F45E67" w:rsidRPr="00F45E67" w14:paraId="20185322" w14:textId="77777777" w:rsidTr="00F40693">
        <w:tc>
          <w:tcPr>
            <w:tcW w:w="2483" w:type="dxa"/>
          </w:tcPr>
          <w:p w14:paraId="1CDB9628" w14:textId="77777777" w:rsidR="00F45E67" w:rsidRDefault="00F45E67" w:rsidP="003D1E63">
            <w:pPr>
              <w:spacing w:after="120" w:line="360" w:lineRule="auto"/>
              <w:rPr>
                <w:rFonts w:ascii="Times New Roman" w:hAnsi="Times New Roman"/>
                <w:sz w:val="24"/>
                <w:szCs w:val="24"/>
                <w:lang w:val="en-GB"/>
              </w:rPr>
            </w:pPr>
            <w:r w:rsidRPr="00F45E67">
              <w:rPr>
                <w:rFonts w:ascii="Times New Roman" w:hAnsi="Times New Roman"/>
                <w:sz w:val="24"/>
                <w:szCs w:val="24"/>
                <w:lang w:val="en-GB"/>
              </w:rPr>
              <w:lastRenderedPageBreak/>
              <w:t>‘</w:t>
            </w:r>
            <w:r>
              <w:rPr>
                <w:rFonts w:ascii="Times New Roman" w:hAnsi="Times New Roman"/>
                <w:sz w:val="24"/>
                <w:szCs w:val="24"/>
                <w:lang w:val="en-GB"/>
              </w:rPr>
              <w:t>C</w:t>
            </w:r>
            <w:r w:rsidRPr="00F45E67">
              <w:rPr>
                <w:rFonts w:ascii="Times New Roman" w:hAnsi="Times New Roman"/>
                <w:sz w:val="24"/>
                <w:szCs w:val="24"/>
                <w:lang w:val="en-GB"/>
              </w:rPr>
              <w:t xml:space="preserve">ards on which e-money can be stored directly’ and those ‘with e-money </w:t>
            </w:r>
            <w:proofErr w:type="gramStart"/>
            <w:r w:rsidRPr="00F45E67">
              <w:rPr>
                <w:rFonts w:ascii="Times New Roman" w:hAnsi="Times New Roman"/>
                <w:sz w:val="24"/>
                <w:szCs w:val="24"/>
                <w:lang w:val="en-GB"/>
              </w:rPr>
              <w:t>accounts’</w:t>
            </w:r>
            <w:proofErr w:type="gramEnd"/>
            <w:r>
              <w:rPr>
                <w:rFonts w:ascii="Times New Roman" w:hAnsi="Times New Roman"/>
                <w:sz w:val="24"/>
                <w:szCs w:val="24"/>
                <w:lang w:val="en-GB"/>
              </w:rPr>
              <w:t xml:space="preserve">/ </w:t>
            </w:r>
          </w:p>
          <w:p w14:paraId="2F1C41FE" w14:textId="77777777" w:rsidR="00F45E67" w:rsidRDefault="00F45E67" w:rsidP="003D1E63">
            <w:pPr>
              <w:spacing w:after="120" w:line="360" w:lineRule="auto"/>
              <w:rPr>
                <w:rFonts w:ascii="Times New Roman" w:hAnsi="Times New Roman"/>
                <w:sz w:val="24"/>
                <w:szCs w:val="24"/>
                <w:lang w:val="en-GB"/>
              </w:rPr>
            </w:pPr>
            <w:r w:rsidRPr="00F45E67">
              <w:rPr>
                <w:rFonts w:ascii="Times New Roman" w:hAnsi="Times New Roman"/>
                <w:sz w:val="24"/>
                <w:szCs w:val="24"/>
                <w:lang w:val="en-GB"/>
              </w:rPr>
              <w:t xml:space="preserve">Remote and </w:t>
            </w:r>
            <w:proofErr w:type="gramStart"/>
            <w:r w:rsidRPr="00F45E67">
              <w:rPr>
                <w:rFonts w:ascii="Times New Roman" w:hAnsi="Times New Roman"/>
                <w:sz w:val="24"/>
                <w:szCs w:val="24"/>
                <w:lang w:val="en-GB"/>
              </w:rPr>
              <w:t>Non-Remote</w:t>
            </w:r>
            <w:proofErr w:type="gramEnd"/>
            <w:r>
              <w:rPr>
                <w:rFonts w:ascii="Times New Roman" w:hAnsi="Times New Roman"/>
                <w:sz w:val="24"/>
                <w:szCs w:val="24"/>
                <w:lang w:val="en-GB"/>
              </w:rPr>
              <w:t xml:space="preserve"> channel/</w:t>
            </w:r>
          </w:p>
          <w:p w14:paraId="6A1C6F5C" w14:textId="77777777" w:rsidR="00F45E67" w:rsidRPr="00F45E67" w:rsidRDefault="00F45E67" w:rsidP="003D1E63">
            <w:pPr>
              <w:spacing w:after="120" w:line="360" w:lineRule="auto"/>
              <w:rPr>
                <w:rFonts w:ascii="Times New Roman" w:hAnsi="Times New Roman"/>
                <w:sz w:val="24"/>
                <w:szCs w:val="24"/>
                <w:lang w:val="en-GB"/>
              </w:rPr>
            </w:pPr>
            <w:r>
              <w:rPr>
                <w:rFonts w:ascii="Times New Roman" w:hAnsi="Times New Roman"/>
                <w:sz w:val="24"/>
                <w:szCs w:val="24"/>
                <w:lang w:val="en-GB"/>
              </w:rPr>
              <w:t>Reasons for non-SCA</w:t>
            </w:r>
          </w:p>
          <w:p w14:paraId="5FE8FE34" w14:textId="77777777" w:rsidR="00F45E67" w:rsidRPr="00F45E67" w:rsidRDefault="00F45E67" w:rsidP="003D1E63">
            <w:pPr>
              <w:spacing w:after="120" w:line="360" w:lineRule="auto"/>
              <w:rPr>
                <w:rFonts w:ascii="Times New Roman" w:hAnsi="Times New Roman"/>
                <w:sz w:val="24"/>
                <w:szCs w:val="24"/>
                <w:lang w:val="en-GB"/>
              </w:rPr>
            </w:pPr>
          </w:p>
          <w:p w14:paraId="086CEC4F" w14:textId="77777777" w:rsidR="00F45E67" w:rsidRPr="00760F3B" w:rsidRDefault="00F45E67" w:rsidP="003D1E63">
            <w:pPr>
              <w:spacing w:after="120" w:line="360" w:lineRule="auto"/>
              <w:rPr>
                <w:rFonts w:ascii="Times New Roman" w:hAnsi="Times New Roman"/>
                <w:sz w:val="24"/>
                <w:szCs w:val="24"/>
                <w:lang w:val="en-GB"/>
              </w:rPr>
            </w:pPr>
          </w:p>
        </w:tc>
        <w:tc>
          <w:tcPr>
            <w:tcW w:w="7151" w:type="dxa"/>
          </w:tcPr>
          <w:p w14:paraId="55B236E3" w14:textId="77777777" w:rsidR="00FB6888" w:rsidRPr="00FB6888" w:rsidRDefault="00FB6888" w:rsidP="00F45E67">
            <w:pPr>
              <w:spacing w:after="120" w:line="360" w:lineRule="auto"/>
              <w:jc w:val="both"/>
              <w:rPr>
                <w:rFonts w:ascii="Times New Roman" w:hAnsi="Times New Roman"/>
                <w:sz w:val="24"/>
                <w:szCs w:val="24"/>
                <w:u w:val="single"/>
                <w:lang w:val="en-GB"/>
              </w:rPr>
            </w:pPr>
            <w:r w:rsidRPr="00FB6888">
              <w:rPr>
                <w:rFonts w:ascii="Times New Roman" w:hAnsi="Times New Roman"/>
                <w:sz w:val="24"/>
                <w:szCs w:val="24"/>
                <w:u w:val="single"/>
                <w:lang w:val="en-GB"/>
              </w:rPr>
              <w:t>E-money type of storing</w:t>
            </w:r>
          </w:p>
          <w:p w14:paraId="30F09867" w14:textId="0607A647" w:rsidR="00F45E67" w:rsidRPr="003835F5" w:rsidRDefault="00F45E67" w:rsidP="00F45E67">
            <w:pPr>
              <w:spacing w:after="120" w:line="360" w:lineRule="auto"/>
              <w:jc w:val="both"/>
              <w:rPr>
                <w:rFonts w:ascii="Times New Roman" w:hAnsi="Times New Roman"/>
                <w:sz w:val="24"/>
                <w:szCs w:val="24"/>
                <w:lang w:val="en-GB"/>
              </w:rPr>
            </w:pPr>
            <w:r w:rsidRPr="003835F5">
              <w:rPr>
                <w:rFonts w:ascii="Times New Roman" w:hAnsi="Times New Roman"/>
                <w:sz w:val="24"/>
                <w:szCs w:val="24"/>
                <w:lang w:val="en-GB"/>
              </w:rPr>
              <w:t>E-money payment transactions sent are the sum of ‘cards on which e-money can be stored directly’</w:t>
            </w:r>
            <w:r w:rsidRPr="003835F5">
              <w:rPr>
                <w:rStyle w:val="FootnoteReference"/>
                <w:rFonts w:ascii="Times New Roman" w:hAnsi="Times New Roman"/>
                <w:sz w:val="24"/>
                <w:szCs w:val="24"/>
                <w:lang w:val="en-GB"/>
              </w:rPr>
              <w:footnoteReference w:id="76"/>
            </w:r>
            <w:r w:rsidRPr="003835F5">
              <w:rPr>
                <w:rFonts w:ascii="Times New Roman" w:hAnsi="Times New Roman"/>
                <w:sz w:val="24"/>
                <w:szCs w:val="24"/>
                <w:lang w:val="en-GB"/>
              </w:rPr>
              <w:t xml:space="preserve"> and ‘with e-money accounts’</w:t>
            </w:r>
            <w:r w:rsidRPr="003835F5">
              <w:rPr>
                <w:rStyle w:val="FootnoteReference"/>
                <w:rFonts w:ascii="Times New Roman" w:hAnsi="Times New Roman"/>
                <w:sz w:val="24"/>
                <w:szCs w:val="24"/>
                <w:lang w:val="en-GB"/>
              </w:rPr>
              <w:footnoteReference w:id="77"/>
            </w:r>
            <w:r w:rsidRPr="003835F5">
              <w:rPr>
                <w:rFonts w:ascii="Times New Roman" w:hAnsi="Times New Roman"/>
                <w:sz w:val="24"/>
                <w:szCs w:val="24"/>
                <w:lang w:val="en-GB"/>
              </w:rPr>
              <w:t>. The latter sub-category is further broken down into those ‘Accessed through a card’, ‘Mobile payment solution’</w:t>
            </w:r>
            <w:r w:rsidRPr="003835F5">
              <w:rPr>
                <w:rStyle w:val="FootnoteReference"/>
                <w:rFonts w:ascii="Times New Roman" w:hAnsi="Times New Roman"/>
                <w:sz w:val="24"/>
                <w:szCs w:val="24"/>
                <w:lang w:val="en-GB"/>
              </w:rPr>
              <w:footnoteReference w:id="78"/>
            </w:r>
            <w:r w:rsidRPr="003835F5">
              <w:rPr>
                <w:rFonts w:ascii="Times New Roman" w:hAnsi="Times New Roman"/>
                <w:sz w:val="24"/>
                <w:szCs w:val="24"/>
                <w:lang w:val="en-GB"/>
              </w:rPr>
              <w:t xml:space="preserve"> and ‘Others’. These sub-categories are mutually exclusive. ‘P2P mobile payment </w:t>
            </w:r>
            <w:r w:rsidRPr="00AE7F59">
              <w:rPr>
                <w:rFonts w:ascii="Times New Roman" w:hAnsi="Times New Roman"/>
                <w:sz w:val="24"/>
                <w:szCs w:val="24"/>
                <w:lang w:val="en-GB"/>
              </w:rPr>
              <w:t>solution’</w:t>
            </w:r>
            <w:r w:rsidR="00B06FF8" w:rsidRPr="00B06FF8">
              <w:rPr>
                <w:rStyle w:val="FootnoteReference"/>
                <w:rFonts w:ascii="Times New Roman" w:hAnsi="Times New Roman"/>
                <w:sz w:val="24"/>
                <w:szCs w:val="24"/>
                <w:lang w:val="en-GB"/>
              </w:rPr>
              <w:fldChar w:fldCharType="begin"/>
            </w:r>
            <w:r w:rsidR="00B06FF8" w:rsidRPr="00B06FF8">
              <w:rPr>
                <w:rStyle w:val="FootnoteReference"/>
                <w:rFonts w:ascii="Times New Roman" w:hAnsi="Times New Roman"/>
                <w:sz w:val="24"/>
                <w:szCs w:val="24"/>
                <w:lang w:val="en-GB"/>
              </w:rPr>
              <w:instrText xml:space="preserve"> NOTEREF _Ref83197737 \h  \* MERGEFORMAT </w:instrText>
            </w:r>
            <w:r w:rsidR="00B06FF8" w:rsidRPr="00B06FF8">
              <w:rPr>
                <w:rStyle w:val="FootnoteReference"/>
                <w:rFonts w:ascii="Times New Roman" w:hAnsi="Times New Roman"/>
                <w:sz w:val="24"/>
                <w:szCs w:val="24"/>
                <w:lang w:val="en-GB"/>
              </w:rPr>
            </w:r>
            <w:r w:rsidR="00B06FF8" w:rsidRPr="00B06FF8">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67</w:t>
            </w:r>
            <w:r w:rsidR="00B06FF8" w:rsidRPr="00B06FF8">
              <w:rPr>
                <w:rStyle w:val="FootnoteReference"/>
                <w:rFonts w:ascii="Times New Roman" w:hAnsi="Times New Roman"/>
                <w:sz w:val="24"/>
                <w:szCs w:val="24"/>
                <w:lang w:val="en-GB"/>
              </w:rPr>
              <w:fldChar w:fldCharType="end"/>
            </w:r>
            <w:r w:rsidRPr="00AE7F59">
              <w:rPr>
                <w:rFonts w:ascii="Times New Roman" w:hAnsi="Times New Roman"/>
                <w:sz w:val="24"/>
                <w:szCs w:val="24"/>
                <w:lang w:val="en-GB"/>
              </w:rPr>
              <w:t xml:space="preserve"> is</w:t>
            </w:r>
            <w:r w:rsidRPr="003835F5">
              <w:rPr>
                <w:rFonts w:ascii="Times New Roman" w:hAnsi="Times New Roman"/>
                <w:sz w:val="24"/>
                <w:szCs w:val="24"/>
                <w:lang w:val="en-GB"/>
              </w:rPr>
              <w:t xml:space="preserve"> a sub-category of ‘Mobile payment solution’.</w:t>
            </w:r>
          </w:p>
          <w:p w14:paraId="19137D83" w14:textId="77777777" w:rsidR="00F45E67" w:rsidRPr="00F45E67" w:rsidRDefault="00F45E67" w:rsidP="00F45E67">
            <w:pPr>
              <w:spacing w:after="120" w:line="360" w:lineRule="auto"/>
              <w:jc w:val="both"/>
              <w:rPr>
                <w:rFonts w:ascii="Times New Roman" w:hAnsi="Times New Roman"/>
                <w:sz w:val="24"/>
                <w:szCs w:val="24"/>
                <w:u w:val="single"/>
                <w:lang w:val="en-GB"/>
              </w:rPr>
            </w:pPr>
            <w:r>
              <w:rPr>
                <w:rFonts w:ascii="Times New Roman" w:hAnsi="Times New Roman"/>
                <w:sz w:val="24"/>
                <w:szCs w:val="24"/>
                <w:u w:val="single"/>
                <w:lang w:val="en-GB"/>
              </w:rPr>
              <w:t>Initiation channel</w:t>
            </w:r>
          </w:p>
          <w:p w14:paraId="1BC2D91E" w14:textId="77777777" w:rsidR="00F45E67" w:rsidRDefault="00F45E67" w:rsidP="00F45E67">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E-money payment transactions sent are </w:t>
            </w:r>
            <w:r>
              <w:rPr>
                <w:rFonts w:ascii="Times New Roman" w:hAnsi="Times New Roman"/>
                <w:sz w:val="24"/>
                <w:szCs w:val="24"/>
                <w:lang w:val="en-GB"/>
              </w:rPr>
              <w:t xml:space="preserve">further </w:t>
            </w:r>
            <w:r w:rsidRPr="00760F3B">
              <w:rPr>
                <w:rFonts w:ascii="Times New Roman" w:hAnsi="Times New Roman"/>
                <w:sz w:val="24"/>
                <w:szCs w:val="24"/>
                <w:lang w:val="en-GB"/>
              </w:rPr>
              <w:t xml:space="preserve">broken down </w:t>
            </w:r>
            <w:r>
              <w:rPr>
                <w:rFonts w:ascii="Times New Roman" w:hAnsi="Times New Roman"/>
                <w:sz w:val="24"/>
                <w:szCs w:val="24"/>
                <w:lang w:val="en-GB"/>
              </w:rPr>
              <w:t>into</w:t>
            </w:r>
            <w:r w:rsidRPr="00760F3B">
              <w:rPr>
                <w:rFonts w:ascii="Times New Roman" w:hAnsi="Times New Roman"/>
                <w:sz w:val="24"/>
                <w:szCs w:val="24"/>
                <w:lang w:val="en-GB"/>
              </w:rPr>
              <w:t xml:space="preserve"> remote and non-remote initiation channel. The</w:t>
            </w:r>
            <w:r>
              <w:rPr>
                <w:rFonts w:ascii="Times New Roman" w:hAnsi="Times New Roman"/>
                <w:sz w:val="24"/>
                <w:szCs w:val="24"/>
                <w:lang w:val="en-GB"/>
              </w:rPr>
              <w:t>se</w:t>
            </w:r>
            <w:r w:rsidRPr="00760F3B">
              <w:rPr>
                <w:rFonts w:ascii="Times New Roman" w:hAnsi="Times New Roman"/>
                <w:sz w:val="24"/>
                <w:szCs w:val="24"/>
                <w:lang w:val="en-GB"/>
              </w:rPr>
              <w:t xml:space="preserve"> sub-categories are mutually exclusive.</w:t>
            </w:r>
          </w:p>
          <w:p w14:paraId="1D10152A" w14:textId="77777777" w:rsidR="00F45E67" w:rsidRDefault="00F45E67" w:rsidP="00F45E67">
            <w:pPr>
              <w:spacing w:after="120" w:line="360" w:lineRule="auto"/>
              <w:jc w:val="both"/>
              <w:rPr>
                <w:rFonts w:ascii="Times New Roman" w:hAnsi="Times New Roman"/>
                <w:sz w:val="24"/>
                <w:szCs w:val="24"/>
                <w:u w:val="single"/>
                <w:lang w:val="en-GB"/>
              </w:rPr>
            </w:pPr>
            <w:r>
              <w:rPr>
                <w:rFonts w:ascii="Times New Roman" w:hAnsi="Times New Roman"/>
                <w:sz w:val="24"/>
                <w:szCs w:val="24"/>
                <w:u w:val="single"/>
                <w:lang w:val="en-GB"/>
              </w:rPr>
              <w:t>Authenticated via non-SCA</w:t>
            </w:r>
          </w:p>
          <w:p w14:paraId="0D08A7C1" w14:textId="25C31177" w:rsidR="00F45E67" w:rsidRPr="00760F3B" w:rsidRDefault="00F45E67" w:rsidP="006E674F">
            <w:pPr>
              <w:spacing w:after="120" w:line="360" w:lineRule="auto"/>
              <w:jc w:val="both"/>
              <w:rPr>
                <w:rFonts w:ascii="Times New Roman" w:hAnsi="Times New Roman"/>
                <w:sz w:val="24"/>
                <w:szCs w:val="24"/>
                <w:lang w:val="en-GB"/>
              </w:rPr>
            </w:pPr>
            <w:r w:rsidRPr="00722F4B">
              <w:rPr>
                <w:rFonts w:ascii="Times New Roman" w:hAnsi="Times New Roman"/>
                <w:sz w:val="24"/>
                <w:szCs w:val="24"/>
                <w:lang w:val="en-GB"/>
              </w:rPr>
              <w:t xml:space="preserve">E-money payment transactions are </w:t>
            </w:r>
            <w:r>
              <w:rPr>
                <w:rFonts w:ascii="Times New Roman" w:hAnsi="Times New Roman"/>
                <w:sz w:val="24"/>
                <w:szCs w:val="24"/>
                <w:lang w:val="en-GB"/>
              </w:rPr>
              <w:t>also divided</w:t>
            </w:r>
            <w:r w:rsidRPr="00722F4B">
              <w:rPr>
                <w:rFonts w:ascii="Times New Roman" w:hAnsi="Times New Roman"/>
                <w:sz w:val="24"/>
                <w:szCs w:val="24"/>
                <w:lang w:val="en-GB"/>
              </w:rPr>
              <w:t xml:space="preserve"> into the rea</w:t>
            </w:r>
            <w:r w:rsidRPr="00D44CF7">
              <w:rPr>
                <w:rFonts w:ascii="Times New Roman" w:hAnsi="Times New Roman"/>
                <w:sz w:val="24"/>
                <w:szCs w:val="24"/>
                <w:lang w:val="en-GB"/>
              </w:rPr>
              <w:t>sons</w:t>
            </w:r>
            <w:r w:rsidR="006E674F" w:rsidRPr="00D44CF7">
              <w:rPr>
                <w:rStyle w:val="FootnoteReference"/>
                <w:rFonts w:ascii="Times New Roman" w:hAnsi="Times New Roman"/>
                <w:sz w:val="24"/>
                <w:szCs w:val="24"/>
                <w:lang w:val="en-GB"/>
              </w:rPr>
              <w:fldChar w:fldCharType="begin"/>
            </w:r>
            <w:r w:rsidR="006E674F" w:rsidRPr="00D44CF7">
              <w:rPr>
                <w:rStyle w:val="FootnoteReference"/>
                <w:rFonts w:ascii="Times New Roman" w:hAnsi="Times New Roman"/>
                <w:sz w:val="24"/>
                <w:szCs w:val="24"/>
                <w:lang w:val="en-GB"/>
              </w:rPr>
              <w:instrText xml:space="preserve"> NOTEREF _Ref75508349 \h  \* MERGEFORMAT </w:instrText>
            </w:r>
            <w:r w:rsidR="006E674F" w:rsidRPr="00D44CF7">
              <w:rPr>
                <w:rStyle w:val="FootnoteReference"/>
                <w:rFonts w:ascii="Times New Roman" w:hAnsi="Times New Roman"/>
                <w:sz w:val="24"/>
                <w:szCs w:val="24"/>
                <w:lang w:val="en-GB"/>
              </w:rPr>
            </w:r>
            <w:r w:rsidR="006E674F" w:rsidRPr="00D44CF7">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55</w:t>
            </w:r>
            <w:r w:rsidR="006E674F" w:rsidRPr="00D44CF7">
              <w:rPr>
                <w:rStyle w:val="FootnoteReference"/>
                <w:rFonts w:ascii="Times New Roman" w:hAnsi="Times New Roman"/>
                <w:sz w:val="24"/>
                <w:szCs w:val="24"/>
                <w:lang w:val="en-GB"/>
              </w:rPr>
              <w:fldChar w:fldCharType="end"/>
            </w:r>
            <w:r>
              <w:rPr>
                <w:rFonts w:ascii="Times New Roman" w:hAnsi="Times New Roman"/>
                <w:sz w:val="24"/>
                <w:szCs w:val="24"/>
                <w:lang w:val="en-GB"/>
              </w:rPr>
              <w:t xml:space="preserve"> </w:t>
            </w:r>
            <w:r w:rsidRPr="00722F4B">
              <w:rPr>
                <w:rFonts w:ascii="Times New Roman" w:hAnsi="Times New Roman"/>
                <w:sz w:val="24"/>
                <w:szCs w:val="24"/>
                <w:lang w:val="en-GB"/>
              </w:rPr>
              <w:t xml:space="preserve">for </w:t>
            </w:r>
            <w:r>
              <w:rPr>
                <w:rFonts w:ascii="Times New Roman" w:hAnsi="Times New Roman"/>
                <w:sz w:val="24"/>
                <w:szCs w:val="24"/>
                <w:lang w:val="en-GB"/>
              </w:rPr>
              <w:t xml:space="preserve">authenticating via </w:t>
            </w:r>
            <w:r w:rsidRPr="00722F4B">
              <w:rPr>
                <w:rFonts w:ascii="Times New Roman" w:hAnsi="Times New Roman"/>
                <w:sz w:val="24"/>
                <w:szCs w:val="24"/>
                <w:lang w:val="en-GB"/>
              </w:rPr>
              <w:t xml:space="preserve">non-SCA. For non-remote </w:t>
            </w:r>
            <w:r>
              <w:rPr>
                <w:rFonts w:ascii="Times New Roman" w:hAnsi="Times New Roman"/>
                <w:sz w:val="24"/>
                <w:szCs w:val="24"/>
                <w:lang w:val="en-GB"/>
              </w:rPr>
              <w:t>payment channel these are ‘Trusted beneficiaries’, ‘Recurring transaction’, ‘Contactless low value’, ‘U</w:t>
            </w:r>
            <w:r w:rsidRPr="00722F4B">
              <w:rPr>
                <w:rFonts w:ascii="Times New Roman" w:hAnsi="Times New Roman"/>
                <w:sz w:val="24"/>
                <w:szCs w:val="24"/>
                <w:lang w:val="en-GB"/>
              </w:rPr>
              <w:t>nattended terminals for transpo</w:t>
            </w:r>
            <w:r>
              <w:rPr>
                <w:rFonts w:ascii="Times New Roman" w:hAnsi="Times New Roman"/>
                <w:sz w:val="24"/>
                <w:szCs w:val="24"/>
                <w:lang w:val="en-GB"/>
              </w:rPr>
              <w:t>rt fares or parking fees’ and ‘O</w:t>
            </w:r>
            <w:r w:rsidRPr="00722F4B">
              <w:rPr>
                <w:rFonts w:ascii="Times New Roman" w:hAnsi="Times New Roman"/>
                <w:sz w:val="24"/>
                <w:szCs w:val="24"/>
                <w:lang w:val="en-GB"/>
              </w:rPr>
              <w:t>ther’. As for the re</w:t>
            </w:r>
            <w:r>
              <w:rPr>
                <w:rFonts w:ascii="Times New Roman" w:hAnsi="Times New Roman"/>
                <w:sz w:val="24"/>
                <w:szCs w:val="24"/>
                <w:lang w:val="en-GB"/>
              </w:rPr>
              <w:t>mote channel, the reasons are ‘Low value’, ‘T</w:t>
            </w:r>
            <w:r w:rsidRPr="00722F4B">
              <w:rPr>
                <w:rFonts w:ascii="Times New Roman" w:hAnsi="Times New Roman"/>
                <w:sz w:val="24"/>
                <w:szCs w:val="24"/>
                <w:lang w:val="en-GB"/>
              </w:rPr>
              <w:t>rusted beneficiarie</w:t>
            </w:r>
            <w:r>
              <w:rPr>
                <w:rFonts w:ascii="Times New Roman" w:hAnsi="Times New Roman"/>
                <w:sz w:val="24"/>
                <w:szCs w:val="24"/>
                <w:lang w:val="en-GB"/>
              </w:rPr>
              <w:t>s’, ‘Recurring transaction’, ‘Payment to self’, ‘S</w:t>
            </w:r>
            <w:r w:rsidRPr="00722F4B">
              <w:rPr>
                <w:rFonts w:ascii="Times New Roman" w:hAnsi="Times New Roman"/>
                <w:sz w:val="24"/>
                <w:szCs w:val="24"/>
                <w:lang w:val="en-GB"/>
              </w:rPr>
              <w:t>ecure corporate paym</w:t>
            </w:r>
            <w:r>
              <w:rPr>
                <w:rFonts w:ascii="Times New Roman" w:hAnsi="Times New Roman"/>
                <w:sz w:val="24"/>
                <w:szCs w:val="24"/>
                <w:lang w:val="en-GB"/>
              </w:rPr>
              <w:t>ent processes and protocols’, ‘T</w:t>
            </w:r>
            <w:r w:rsidRPr="00722F4B">
              <w:rPr>
                <w:rFonts w:ascii="Times New Roman" w:hAnsi="Times New Roman"/>
                <w:sz w:val="24"/>
                <w:szCs w:val="24"/>
                <w:lang w:val="en-GB"/>
              </w:rPr>
              <w:t xml:space="preserve">ransaction risk analysis’, </w:t>
            </w:r>
            <w:r>
              <w:rPr>
                <w:rFonts w:ascii="Times New Roman" w:hAnsi="Times New Roman"/>
                <w:sz w:val="24"/>
                <w:szCs w:val="24"/>
                <w:lang w:val="en-GB"/>
              </w:rPr>
              <w:lastRenderedPageBreak/>
              <w:t>‘M</w:t>
            </w:r>
            <w:r w:rsidRPr="00722F4B">
              <w:rPr>
                <w:rFonts w:ascii="Times New Roman" w:hAnsi="Times New Roman"/>
                <w:sz w:val="24"/>
                <w:szCs w:val="24"/>
                <w:lang w:val="en-GB"/>
              </w:rPr>
              <w:t>erchant initiated transactions’ and ‘</w:t>
            </w:r>
            <w:r>
              <w:rPr>
                <w:rFonts w:ascii="Times New Roman" w:hAnsi="Times New Roman"/>
                <w:sz w:val="24"/>
                <w:szCs w:val="24"/>
                <w:lang w:val="en-GB"/>
              </w:rPr>
              <w:t>O</w:t>
            </w:r>
            <w:r w:rsidRPr="00722F4B">
              <w:rPr>
                <w:rFonts w:ascii="Times New Roman" w:hAnsi="Times New Roman"/>
                <w:sz w:val="24"/>
                <w:szCs w:val="24"/>
                <w:lang w:val="en-GB"/>
              </w:rPr>
              <w:t>ther’</w:t>
            </w:r>
            <w:r>
              <w:rPr>
                <w:rFonts w:ascii="Times New Roman" w:hAnsi="Times New Roman"/>
                <w:sz w:val="24"/>
                <w:szCs w:val="24"/>
                <w:lang w:val="en-GB"/>
              </w:rPr>
              <w:t xml:space="preserve">. </w:t>
            </w:r>
            <w:r w:rsidRPr="00722F4B">
              <w:rPr>
                <w:rFonts w:ascii="Times New Roman" w:hAnsi="Times New Roman"/>
                <w:sz w:val="24"/>
                <w:szCs w:val="24"/>
                <w:lang w:val="en-GB"/>
              </w:rPr>
              <w:t>These sub-categories are mutually exclusive.</w:t>
            </w:r>
          </w:p>
        </w:tc>
      </w:tr>
    </w:tbl>
    <w:p w14:paraId="603A05C8" w14:textId="77777777" w:rsidR="00BA6D41" w:rsidRPr="00760F3B" w:rsidRDefault="00BA6D41"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775D5FA9" w14:textId="77777777" w:rsidTr="00F40693">
        <w:tc>
          <w:tcPr>
            <w:tcW w:w="9634" w:type="dxa"/>
            <w:gridSpan w:val="2"/>
            <w:shd w:val="clear" w:color="auto" w:fill="003199"/>
          </w:tcPr>
          <w:p w14:paraId="2CFCBFF8" w14:textId="1E5FDA7B" w:rsidR="00591697" w:rsidRPr="00760F3B" w:rsidRDefault="00591697" w:rsidP="00722F4B">
            <w:pPr>
              <w:spacing w:after="120" w:line="360" w:lineRule="auto"/>
              <w:jc w:val="both"/>
              <w:rPr>
                <w:rFonts w:ascii="Times New Roman" w:hAnsi="Times New Roman"/>
                <w:b/>
                <w:bCs/>
                <w:sz w:val="24"/>
                <w:szCs w:val="24"/>
                <w:lang w:val="en-GB"/>
              </w:rPr>
            </w:pPr>
            <w:r w:rsidRPr="00760F3B">
              <w:rPr>
                <w:rFonts w:ascii="Times New Roman" w:hAnsi="Times New Roman"/>
                <w:b/>
                <w:bCs/>
                <w:sz w:val="24"/>
                <w:szCs w:val="24"/>
                <w:lang w:val="en-GB"/>
              </w:rPr>
              <w:t xml:space="preserve">Cheques </w:t>
            </w:r>
            <w:r w:rsidR="00CC4F19">
              <w:rPr>
                <w:rFonts w:ascii="Times New Roman" w:hAnsi="Times New Roman"/>
                <w:b/>
                <w:bCs/>
                <w:sz w:val="24"/>
                <w:szCs w:val="24"/>
                <w:lang w:val="en-GB"/>
              </w:rPr>
              <w:t>S</w:t>
            </w:r>
            <w:r w:rsidR="00722F4B">
              <w:rPr>
                <w:rFonts w:ascii="Times New Roman" w:hAnsi="Times New Roman"/>
                <w:b/>
                <w:bCs/>
                <w:sz w:val="24"/>
                <w:szCs w:val="24"/>
                <w:lang w:val="en-GB"/>
              </w:rPr>
              <w:t xml:space="preserve">ent/ </w:t>
            </w:r>
            <w:r w:rsidR="00CC4F19">
              <w:rPr>
                <w:rFonts w:ascii="Times New Roman" w:hAnsi="Times New Roman"/>
                <w:b/>
                <w:bCs/>
                <w:sz w:val="24"/>
                <w:szCs w:val="24"/>
                <w:lang w:val="en-GB"/>
              </w:rPr>
              <w:t>R</w:t>
            </w:r>
            <w:r w:rsidR="00722F4B">
              <w:rPr>
                <w:rFonts w:ascii="Times New Roman" w:hAnsi="Times New Roman"/>
                <w:b/>
                <w:bCs/>
                <w:sz w:val="24"/>
                <w:szCs w:val="24"/>
                <w:lang w:val="en-GB"/>
              </w:rPr>
              <w:t>eceived</w:t>
            </w:r>
            <w:r w:rsidR="008B5D33">
              <w:rPr>
                <w:rFonts w:ascii="Times New Roman" w:hAnsi="Times New Roman"/>
                <w:b/>
                <w:bCs/>
                <w:sz w:val="24"/>
                <w:szCs w:val="24"/>
                <w:lang w:val="en-GB"/>
              </w:rPr>
              <w:t xml:space="preserve"> </w:t>
            </w:r>
            <w:r w:rsidR="008B5D33" w:rsidRPr="000F1F24">
              <w:rPr>
                <w:rFonts w:ascii="Times New Roman" w:hAnsi="Times New Roman"/>
                <w:i/>
                <w:lang w:val="en-GB"/>
              </w:rPr>
              <w:t>(</w:t>
            </w:r>
            <w:r w:rsidR="008B5D33">
              <w:rPr>
                <w:rFonts w:ascii="Times New Roman" w:hAnsi="Times New Roman"/>
                <w:i/>
                <w:sz w:val="24"/>
                <w:szCs w:val="24"/>
                <w:lang w:val="en-GB"/>
              </w:rPr>
              <w:t>refers to worksheets 10 &amp; 11</w:t>
            </w:r>
            <w:r w:rsidR="008B5D33" w:rsidRPr="000F1F24">
              <w:rPr>
                <w:rFonts w:ascii="Times New Roman" w:hAnsi="Times New Roman"/>
                <w:i/>
                <w:lang w:val="en-GB"/>
              </w:rPr>
              <w:t>)</w:t>
            </w:r>
          </w:p>
        </w:tc>
      </w:tr>
      <w:tr w:rsidR="00591697" w:rsidRPr="00F53249" w14:paraId="09862DD9" w14:textId="77777777" w:rsidTr="00F40693">
        <w:tc>
          <w:tcPr>
            <w:tcW w:w="2483" w:type="dxa"/>
          </w:tcPr>
          <w:p w14:paraId="542BDD0A"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t>Cheques</w:t>
            </w:r>
            <w:r w:rsidR="00C62753">
              <w:rPr>
                <w:rStyle w:val="FootnoteReference"/>
                <w:rFonts w:ascii="Times New Roman" w:hAnsi="Times New Roman"/>
                <w:sz w:val="24"/>
                <w:szCs w:val="24"/>
                <w:lang w:val="en-GB"/>
              </w:rPr>
              <w:footnoteReference w:id="79"/>
            </w:r>
          </w:p>
        </w:tc>
        <w:tc>
          <w:tcPr>
            <w:tcW w:w="7151" w:type="dxa"/>
          </w:tcPr>
          <w:p w14:paraId="31CBB235" w14:textId="77777777" w:rsidR="00722F4B" w:rsidRPr="00722F4B" w:rsidRDefault="00722F4B" w:rsidP="00722F4B">
            <w:pPr>
              <w:spacing w:after="120" w:line="360" w:lineRule="auto"/>
              <w:jc w:val="both"/>
              <w:rPr>
                <w:rFonts w:ascii="Times New Roman" w:hAnsi="Times New Roman"/>
                <w:sz w:val="24"/>
                <w:szCs w:val="24"/>
                <w:u w:val="single"/>
                <w:lang w:val="en-GB"/>
              </w:rPr>
            </w:pPr>
            <w:r w:rsidRPr="00722F4B">
              <w:rPr>
                <w:rFonts w:ascii="Times New Roman" w:hAnsi="Times New Roman"/>
                <w:sz w:val="24"/>
                <w:szCs w:val="24"/>
                <w:u w:val="single"/>
                <w:lang w:val="en-GB"/>
              </w:rPr>
              <w:t xml:space="preserve">Cheques </w:t>
            </w:r>
            <w:r>
              <w:rPr>
                <w:rFonts w:ascii="Times New Roman" w:hAnsi="Times New Roman"/>
                <w:sz w:val="24"/>
                <w:szCs w:val="24"/>
                <w:u w:val="single"/>
                <w:lang w:val="en-GB"/>
              </w:rPr>
              <w:t>sent</w:t>
            </w:r>
            <w:r w:rsidRPr="00722F4B">
              <w:rPr>
                <w:rFonts w:ascii="Times New Roman" w:hAnsi="Times New Roman"/>
                <w:sz w:val="24"/>
                <w:szCs w:val="24"/>
                <w:u w:val="single"/>
                <w:lang w:val="en-GB"/>
              </w:rPr>
              <w:t xml:space="preserve"> </w:t>
            </w:r>
          </w:p>
          <w:p w14:paraId="6E807278" w14:textId="77777777" w:rsidR="00722F4B" w:rsidRDefault="00722F4B" w:rsidP="00722F4B">
            <w:pPr>
              <w:spacing w:after="120" w:line="360" w:lineRule="auto"/>
              <w:jc w:val="both"/>
              <w:rPr>
                <w:rFonts w:ascii="Times New Roman" w:hAnsi="Times New Roman"/>
                <w:sz w:val="24"/>
                <w:szCs w:val="24"/>
                <w:lang w:val="en-GB"/>
              </w:rPr>
            </w:pPr>
            <w:r>
              <w:rPr>
                <w:rFonts w:ascii="Times New Roman" w:hAnsi="Times New Roman"/>
                <w:sz w:val="24"/>
                <w:szCs w:val="24"/>
                <w:lang w:val="en-GB"/>
              </w:rPr>
              <w:t>R</w:t>
            </w:r>
            <w:r w:rsidRPr="00760F3B">
              <w:rPr>
                <w:rFonts w:ascii="Times New Roman" w:hAnsi="Times New Roman"/>
                <w:sz w:val="24"/>
                <w:szCs w:val="24"/>
                <w:lang w:val="en-GB"/>
              </w:rPr>
              <w:t xml:space="preserve">eport the number and value of cheques </w:t>
            </w:r>
            <w:r w:rsidR="00934405">
              <w:rPr>
                <w:rFonts w:ascii="Times New Roman" w:hAnsi="Times New Roman"/>
                <w:sz w:val="24"/>
                <w:szCs w:val="24"/>
                <w:lang w:val="en-GB"/>
              </w:rPr>
              <w:t>for</w:t>
            </w:r>
            <w:r w:rsidRPr="00760F3B">
              <w:rPr>
                <w:rFonts w:ascii="Times New Roman" w:hAnsi="Times New Roman"/>
                <w:sz w:val="24"/>
                <w:szCs w:val="24"/>
                <w:lang w:val="en-GB"/>
              </w:rPr>
              <w:t xml:space="preserve"> which </w:t>
            </w:r>
            <w:r w:rsidR="00C62753">
              <w:rPr>
                <w:rFonts w:ascii="Times New Roman" w:hAnsi="Times New Roman"/>
                <w:sz w:val="24"/>
                <w:szCs w:val="24"/>
                <w:lang w:val="en-GB"/>
              </w:rPr>
              <w:t>the beneficiaries of the funds</w:t>
            </w:r>
            <w:r w:rsidRPr="00760F3B">
              <w:rPr>
                <w:rFonts w:ascii="Times New Roman" w:hAnsi="Times New Roman"/>
                <w:sz w:val="24"/>
                <w:szCs w:val="24"/>
                <w:lang w:val="en-GB"/>
              </w:rPr>
              <w:t xml:space="preserve"> are customers of the Reporting Agent. </w:t>
            </w:r>
            <w:r w:rsidRPr="005A4F60">
              <w:rPr>
                <w:rFonts w:ascii="Times New Roman" w:hAnsi="Times New Roman"/>
                <w:sz w:val="24"/>
                <w:szCs w:val="24"/>
                <w:lang w:val="en-GB"/>
              </w:rPr>
              <w:t xml:space="preserve">For domestic cheques, the PSPs of both </w:t>
            </w:r>
            <w:r w:rsidR="000E0046">
              <w:rPr>
                <w:rFonts w:ascii="Times New Roman" w:hAnsi="Times New Roman"/>
                <w:sz w:val="24"/>
                <w:szCs w:val="24"/>
                <w:lang w:val="en-GB"/>
              </w:rPr>
              <w:t>the payer and the payee</w:t>
            </w:r>
            <w:r w:rsidRPr="005A4F60">
              <w:rPr>
                <w:rFonts w:ascii="Times New Roman" w:hAnsi="Times New Roman"/>
                <w:sz w:val="24"/>
                <w:szCs w:val="24"/>
                <w:lang w:val="en-GB"/>
              </w:rPr>
              <w:t xml:space="preserve"> are resident in </w:t>
            </w:r>
            <w:r w:rsidR="000E0046">
              <w:rPr>
                <w:rFonts w:ascii="Times New Roman" w:hAnsi="Times New Roman"/>
                <w:sz w:val="24"/>
                <w:szCs w:val="24"/>
                <w:lang w:val="en-GB"/>
              </w:rPr>
              <w:t>Cyprus</w:t>
            </w:r>
            <w:r>
              <w:rPr>
                <w:rFonts w:ascii="Times New Roman" w:hAnsi="Times New Roman"/>
                <w:sz w:val="24"/>
                <w:szCs w:val="24"/>
                <w:lang w:val="en-GB"/>
              </w:rPr>
              <w:t>, while f</w:t>
            </w:r>
            <w:r w:rsidRPr="005A4F60">
              <w:rPr>
                <w:rFonts w:ascii="Times New Roman" w:hAnsi="Times New Roman"/>
                <w:sz w:val="24"/>
                <w:szCs w:val="24"/>
                <w:lang w:val="en-GB"/>
              </w:rPr>
              <w:t xml:space="preserve">or cross-border transactions, the </w:t>
            </w:r>
            <w:r w:rsidR="000E0046">
              <w:rPr>
                <w:rFonts w:ascii="Times New Roman" w:hAnsi="Times New Roman"/>
                <w:sz w:val="24"/>
                <w:szCs w:val="24"/>
                <w:lang w:val="en-GB"/>
              </w:rPr>
              <w:t xml:space="preserve">payer’s </w:t>
            </w:r>
            <w:r w:rsidRPr="005A4F60">
              <w:rPr>
                <w:rFonts w:ascii="Times New Roman" w:hAnsi="Times New Roman"/>
                <w:sz w:val="24"/>
                <w:szCs w:val="24"/>
                <w:lang w:val="en-GB"/>
              </w:rPr>
              <w:t xml:space="preserve">PSP is resident outside </w:t>
            </w:r>
            <w:r w:rsidR="000E0046">
              <w:rPr>
                <w:rFonts w:ascii="Times New Roman" w:hAnsi="Times New Roman"/>
                <w:sz w:val="24"/>
                <w:szCs w:val="24"/>
                <w:lang w:val="en-GB"/>
              </w:rPr>
              <w:t>Cyprus</w:t>
            </w:r>
            <w:r w:rsidRPr="005A4F60">
              <w:rPr>
                <w:rFonts w:ascii="Times New Roman" w:hAnsi="Times New Roman"/>
                <w:sz w:val="24"/>
                <w:szCs w:val="24"/>
                <w:lang w:val="en-GB"/>
              </w:rPr>
              <w:t>.</w:t>
            </w:r>
          </w:p>
          <w:p w14:paraId="50B44FEB" w14:textId="77777777" w:rsidR="00722F4B" w:rsidRPr="00722F4B" w:rsidRDefault="00722F4B" w:rsidP="00F40A5B">
            <w:pPr>
              <w:spacing w:after="120" w:line="360" w:lineRule="auto"/>
              <w:jc w:val="both"/>
              <w:rPr>
                <w:rFonts w:ascii="Times New Roman" w:hAnsi="Times New Roman"/>
                <w:sz w:val="24"/>
                <w:szCs w:val="24"/>
                <w:u w:val="single"/>
                <w:lang w:val="en-GB"/>
              </w:rPr>
            </w:pPr>
            <w:r w:rsidRPr="00722F4B">
              <w:rPr>
                <w:rFonts w:ascii="Times New Roman" w:hAnsi="Times New Roman"/>
                <w:sz w:val="24"/>
                <w:szCs w:val="24"/>
                <w:u w:val="single"/>
                <w:lang w:val="en-GB"/>
              </w:rPr>
              <w:t xml:space="preserve">Cheques received </w:t>
            </w:r>
          </w:p>
          <w:p w14:paraId="306ABA9F" w14:textId="77777777" w:rsidR="00C62753" w:rsidRPr="00C62753" w:rsidRDefault="00722F4B" w:rsidP="00934405">
            <w:pPr>
              <w:spacing w:after="120" w:line="360" w:lineRule="auto"/>
              <w:jc w:val="both"/>
              <w:rPr>
                <w:rFonts w:ascii="Times New Roman" w:hAnsi="Times New Roman"/>
                <w:sz w:val="24"/>
                <w:szCs w:val="24"/>
                <w:lang w:val="en-GB"/>
              </w:rPr>
            </w:pPr>
            <w:r>
              <w:rPr>
                <w:rFonts w:ascii="Times New Roman" w:hAnsi="Times New Roman"/>
                <w:sz w:val="24"/>
                <w:szCs w:val="24"/>
                <w:lang w:val="en-GB"/>
              </w:rPr>
              <w:t>R</w:t>
            </w:r>
            <w:r w:rsidR="00591697" w:rsidRPr="00760F3B">
              <w:rPr>
                <w:rFonts w:ascii="Times New Roman" w:hAnsi="Times New Roman"/>
                <w:sz w:val="24"/>
                <w:szCs w:val="24"/>
                <w:lang w:val="en-GB"/>
              </w:rPr>
              <w:t xml:space="preserve">eport the number and value of cheques </w:t>
            </w:r>
            <w:r w:rsidR="00934405">
              <w:rPr>
                <w:rFonts w:ascii="Times New Roman" w:hAnsi="Times New Roman"/>
                <w:sz w:val="24"/>
                <w:szCs w:val="24"/>
                <w:lang w:val="en-GB"/>
              </w:rPr>
              <w:t>for</w:t>
            </w:r>
            <w:r w:rsidR="00591697" w:rsidRPr="00760F3B">
              <w:rPr>
                <w:rFonts w:ascii="Times New Roman" w:hAnsi="Times New Roman"/>
                <w:sz w:val="24"/>
                <w:szCs w:val="24"/>
                <w:lang w:val="en-GB"/>
              </w:rPr>
              <w:t xml:space="preserve"> which the issuers are customers of the Reporting Agent. </w:t>
            </w:r>
            <w:r w:rsidR="005A4F60" w:rsidRPr="005A4F60">
              <w:rPr>
                <w:rFonts w:ascii="Times New Roman" w:hAnsi="Times New Roman"/>
                <w:sz w:val="24"/>
                <w:szCs w:val="24"/>
                <w:lang w:val="en-GB"/>
              </w:rPr>
              <w:t xml:space="preserve">For domestic cheques, the PSPs of both parties (the payer and the payee) are resident in </w:t>
            </w:r>
            <w:r w:rsidR="000E0046">
              <w:rPr>
                <w:rFonts w:ascii="Times New Roman" w:hAnsi="Times New Roman"/>
                <w:sz w:val="24"/>
                <w:szCs w:val="24"/>
                <w:lang w:val="en-GB"/>
              </w:rPr>
              <w:t>Cyprus</w:t>
            </w:r>
            <w:r w:rsidR="005A4F60">
              <w:rPr>
                <w:rFonts w:ascii="Times New Roman" w:hAnsi="Times New Roman"/>
                <w:sz w:val="24"/>
                <w:szCs w:val="24"/>
                <w:lang w:val="en-GB"/>
              </w:rPr>
              <w:t>, while f</w:t>
            </w:r>
            <w:r w:rsidR="005A4F60" w:rsidRPr="005A4F60">
              <w:rPr>
                <w:rFonts w:ascii="Times New Roman" w:hAnsi="Times New Roman"/>
                <w:sz w:val="24"/>
                <w:szCs w:val="24"/>
                <w:lang w:val="en-GB"/>
              </w:rPr>
              <w:t xml:space="preserve">or cross-border transactions, the </w:t>
            </w:r>
            <w:r w:rsidR="000E0046">
              <w:rPr>
                <w:rFonts w:ascii="Times New Roman" w:hAnsi="Times New Roman"/>
                <w:sz w:val="24"/>
                <w:szCs w:val="24"/>
                <w:lang w:val="en-GB"/>
              </w:rPr>
              <w:t xml:space="preserve">payee’s </w:t>
            </w:r>
            <w:r w:rsidR="005A4F60" w:rsidRPr="005A4F60">
              <w:rPr>
                <w:rFonts w:ascii="Times New Roman" w:hAnsi="Times New Roman"/>
                <w:sz w:val="24"/>
                <w:szCs w:val="24"/>
                <w:lang w:val="en-GB"/>
              </w:rPr>
              <w:t xml:space="preserve">PSP is resident outside </w:t>
            </w:r>
            <w:r w:rsidR="000E0046">
              <w:rPr>
                <w:rFonts w:ascii="Times New Roman" w:hAnsi="Times New Roman"/>
                <w:sz w:val="24"/>
                <w:szCs w:val="24"/>
                <w:lang w:val="en-GB"/>
              </w:rPr>
              <w:t>Cyprus</w:t>
            </w:r>
            <w:r w:rsidR="005A4F60" w:rsidRPr="005A4F60">
              <w:rPr>
                <w:rFonts w:ascii="Times New Roman" w:hAnsi="Times New Roman"/>
                <w:sz w:val="24"/>
                <w:szCs w:val="24"/>
                <w:lang w:val="en-GB"/>
              </w:rPr>
              <w:t>.</w:t>
            </w:r>
          </w:p>
        </w:tc>
      </w:tr>
    </w:tbl>
    <w:p w14:paraId="7B998744" w14:textId="77777777" w:rsidR="00C62753" w:rsidRPr="00760F3B" w:rsidRDefault="00C62753"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7DC4898D" w14:textId="77777777" w:rsidTr="00F40693">
        <w:tc>
          <w:tcPr>
            <w:tcW w:w="9634" w:type="dxa"/>
            <w:gridSpan w:val="2"/>
            <w:shd w:val="clear" w:color="auto" w:fill="003199"/>
          </w:tcPr>
          <w:p w14:paraId="4BE726B3" w14:textId="67E7F3E8" w:rsidR="00591697" w:rsidRPr="00760F3B" w:rsidRDefault="00CC4F19" w:rsidP="00C46A42">
            <w:pPr>
              <w:spacing w:after="120" w:line="360" w:lineRule="auto"/>
              <w:jc w:val="both"/>
              <w:rPr>
                <w:rFonts w:ascii="Times New Roman" w:hAnsi="Times New Roman"/>
                <w:b/>
                <w:bCs/>
                <w:sz w:val="24"/>
                <w:szCs w:val="24"/>
                <w:lang w:val="en-GB"/>
              </w:rPr>
            </w:pPr>
            <w:r>
              <w:rPr>
                <w:rFonts w:ascii="Times New Roman" w:hAnsi="Times New Roman"/>
                <w:b/>
                <w:bCs/>
                <w:sz w:val="24"/>
                <w:szCs w:val="24"/>
                <w:lang w:val="en-GB"/>
              </w:rPr>
              <w:t>Money R</w:t>
            </w:r>
            <w:r w:rsidR="00591697" w:rsidRPr="00760F3B">
              <w:rPr>
                <w:rFonts w:ascii="Times New Roman" w:hAnsi="Times New Roman"/>
                <w:b/>
                <w:bCs/>
                <w:sz w:val="24"/>
                <w:szCs w:val="24"/>
                <w:lang w:val="en-GB"/>
              </w:rPr>
              <w:t xml:space="preserve">emittances </w:t>
            </w:r>
            <w:r>
              <w:rPr>
                <w:rFonts w:ascii="Times New Roman" w:hAnsi="Times New Roman"/>
                <w:b/>
                <w:bCs/>
                <w:sz w:val="24"/>
                <w:szCs w:val="24"/>
                <w:lang w:val="en-GB"/>
              </w:rPr>
              <w:t>Sent/ R</w:t>
            </w:r>
            <w:r w:rsidR="00934520">
              <w:rPr>
                <w:rFonts w:ascii="Times New Roman" w:hAnsi="Times New Roman"/>
                <w:b/>
                <w:bCs/>
                <w:sz w:val="24"/>
                <w:szCs w:val="24"/>
                <w:lang w:val="en-GB"/>
              </w:rPr>
              <w:t>eceived</w:t>
            </w:r>
            <w:r w:rsidR="00C46A42">
              <w:rPr>
                <w:rFonts w:ascii="Times New Roman" w:hAnsi="Times New Roman"/>
                <w:b/>
                <w:bCs/>
                <w:sz w:val="24"/>
                <w:szCs w:val="24"/>
                <w:lang w:val="en-GB"/>
              </w:rPr>
              <w:t xml:space="preserve"> </w:t>
            </w:r>
            <w:r w:rsidR="00C46A42" w:rsidRPr="000F1F24">
              <w:rPr>
                <w:rFonts w:ascii="Times New Roman" w:hAnsi="Times New Roman"/>
                <w:i/>
                <w:lang w:val="en-GB"/>
              </w:rPr>
              <w:t>(</w:t>
            </w:r>
            <w:r w:rsidR="00C46A42" w:rsidRPr="000F1F24">
              <w:rPr>
                <w:rFonts w:ascii="Times New Roman" w:hAnsi="Times New Roman"/>
                <w:i/>
                <w:sz w:val="24"/>
                <w:szCs w:val="24"/>
                <w:lang w:val="en-GB"/>
              </w:rPr>
              <w:t>refers to worksheets 1</w:t>
            </w:r>
            <w:r w:rsidR="00C46A42">
              <w:rPr>
                <w:rFonts w:ascii="Times New Roman" w:hAnsi="Times New Roman"/>
                <w:i/>
                <w:sz w:val="24"/>
                <w:szCs w:val="24"/>
                <w:lang w:val="en-GB"/>
              </w:rPr>
              <w:t>0 &amp; 1</w:t>
            </w:r>
            <w:r w:rsidR="00C46A42" w:rsidRPr="000F1F24">
              <w:rPr>
                <w:rFonts w:ascii="Times New Roman" w:hAnsi="Times New Roman"/>
                <w:i/>
                <w:sz w:val="24"/>
                <w:szCs w:val="24"/>
                <w:lang w:val="en-GB"/>
              </w:rPr>
              <w:t>1</w:t>
            </w:r>
            <w:r w:rsidR="00C46A42" w:rsidRPr="000F1F24">
              <w:rPr>
                <w:rFonts w:ascii="Times New Roman" w:hAnsi="Times New Roman"/>
                <w:i/>
                <w:lang w:val="en-GB"/>
              </w:rPr>
              <w:t>)</w:t>
            </w:r>
          </w:p>
        </w:tc>
      </w:tr>
      <w:tr w:rsidR="00591697" w:rsidRPr="00F53249" w14:paraId="7E6E397E" w14:textId="77777777" w:rsidTr="00F40693">
        <w:tc>
          <w:tcPr>
            <w:tcW w:w="2483" w:type="dxa"/>
          </w:tcPr>
          <w:p w14:paraId="77DDCEF8"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t>Money remittances</w:t>
            </w:r>
            <w:r w:rsidR="00445AF8" w:rsidRPr="00760F3B">
              <w:rPr>
                <w:rStyle w:val="FootnoteReference"/>
                <w:rFonts w:ascii="Times New Roman" w:hAnsi="Times New Roman"/>
                <w:sz w:val="24"/>
                <w:szCs w:val="24"/>
                <w:lang w:val="en-GB"/>
              </w:rPr>
              <w:footnoteReference w:id="80"/>
            </w:r>
          </w:p>
        </w:tc>
        <w:tc>
          <w:tcPr>
            <w:tcW w:w="7151" w:type="dxa"/>
          </w:tcPr>
          <w:p w14:paraId="1359FDE7" w14:textId="77777777" w:rsidR="00591697" w:rsidRPr="00760F3B" w:rsidRDefault="00591697" w:rsidP="00445AF8">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Report the number and value of money remittances.</w:t>
            </w:r>
            <w:r w:rsidR="00D85C85">
              <w:rPr>
                <w:rFonts w:ascii="Times New Roman" w:hAnsi="Times New Roman"/>
                <w:sz w:val="24"/>
                <w:szCs w:val="24"/>
                <w:lang w:val="en-GB"/>
              </w:rPr>
              <w:t xml:space="preserve"> </w:t>
            </w:r>
          </w:p>
        </w:tc>
      </w:tr>
    </w:tbl>
    <w:p w14:paraId="65A087EA" w14:textId="77777777" w:rsidR="00934520" w:rsidRPr="00760F3B" w:rsidRDefault="00934520"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21A444E2" w14:textId="77777777" w:rsidTr="00F40693">
        <w:tc>
          <w:tcPr>
            <w:tcW w:w="9634" w:type="dxa"/>
            <w:gridSpan w:val="2"/>
            <w:shd w:val="clear" w:color="auto" w:fill="003199"/>
          </w:tcPr>
          <w:p w14:paraId="5A8B00A3" w14:textId="6C77DDDF" w:rsidR="00591697" w:rsidRPr="00760F3B" w:rsidRDefault="00CC4F19" w:rsidP="00760F3B">
            <w:pPr>
              <w:spacing w:after="120" w:line="360" w:lineRule="auto"/>
              <w:jc w:val="both"/>
              <w:rPr>
                <w:rFonts w:ascii="Times New Roman" w:hAnsi="Times New Roman"/>
                <w:b/>
                <w:bCs/>
                <w:sz w:val="24"/>
                <w:szCs w:val="24"/>
                <w:lang w:val="en-GB"/>
              </w:rPr>
            </w:pPr>
            <w:r>
              <w:rPr>
                <w:rFonts w:ascii="Times New Roman" w:hAnsi="Times New Roman"/>
                <w:b/>
                <w:bCs/>
                <w:sz w:val="24"/>
                <w:szCs w:val="24"/>
                <w:lang w:val="en-GB"/>
              </w:rPr>
              <w:t>Other Payment S</w:t>
            </w:r>
            <w:r w:rsidR="00591697" w:rsidRPr="00760F3B">
              <w:rPr>
                <w:rFonts w:ascii="Times New Roman" w:hAnsi="Times New Roman"/>
                <w:b/>
                <w:bCs/>
                <w:sz w:val="24"/>
                <w:szCs w:val="24"/>
                <w:lang w:val="en-GB"/>
              </w:rPr>
              <w:t xml:space="preserve">ervices </w:t>
            </w:r>
            <w:r>
              <w:rPr>
                <w:rFonts w:ascii="Times New Roman" w:hAnsi="Times New Roman"/>
                <w:b/>
                <w:bCs/>
                <w:sz w:val="24"/>
                <w:szCs w:val="24"/>
                <w:lang w:val="en-GB"/>
              </w:rPr>
              <w:t>Sent/ Received</w:t>
            </w:r>
            <w:r w:rsidR="00C46A42">
              <w:rPr>
                <w:rFonts w:ascii="Times New Roman" w:hAnsi="Times New Roman"/>
                <w:b/>
                <w:bCs/>
                <w:sz w:val="24"/>
                <w:szCs w:val="24"/>
                <w:lang w:val="en-GB"/>
              </w:rPr>
              <w:t xml:space="preserve"> </w:t>
            </w:r>
            <w:r w:rsidR="00C46A42" w:rsidRPr="000F1F24">
              <w:rPr>
                <w:rFonts w:ascii="Times New Roman" w:hAnsi="Times New Roman"/>
                <w:i/>
                <w:lang w:val="en-GB"/>
              </w:rPr>
              <w:t>(</w:t>
            </w:r>
            <w:r w:rsidR="00C46A42">
              <w:rPr>
                <w:rFonts w:ascii="Times New Roman" w:hAnsi="Times New Roman"/>
                <w:i/>
                <w:sz w:val="24"/>
                <w:szCs w:val="24"/>
                <w:lang w:val="en-GB"/>
              </w:rPr>
              <w:t>refers to worksheets 10 &amp; 11</w:t>
            </w:r>
            <w:r w:rsidR="00C46A42" w:rsidRPr="000F1F24">
              <w:rPr>
                <w:rFonts w:ascii="Times New Roman" w:hAnsi="Times New Roman"/>
                <w:i/>
                <w:lang w:val="en-GB"/>
              </w:rPr>
              <w:t>)</w:t>
            </w:r>
          </w:p>
        </w:tc>
      </w:tr>
      <w:tr w:rsidR="00591697" w:rsidRPr="00F53249" w14:paraId="2ECA78FF" w14:textId="77777777" w:rsidTr="00F40693">
        <w:tc>
          <w:tcPr>
            <w:tcW w:w="2483" w:type="dxa"/>
          </w:tcPr>
          <w:p w14:paraId="35F35982"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t>Other payment services</w:t>
            </w:r>
          </w:p>
        </w:tc>
        <w:tc>
          <w:tcPr>
            <w:tcW w:w="7151" w:type="dxa"/>
          </w:tcPr>
          <w:p w14:paraId="3FC590CF" w14:textId="213E6A01" w:rsidR="00591697" w:rsidRPr="00F14369" w:rsidRDefault="00591697" w:rsidP="00783871">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Report the number and value of other payment services within the scope of Directive (EU) 2015/2366 but which cannot be included in any other categor</w:t>
            </w:r>
            <w:r w:rsidR="00CC4F19">
              <w:rPr>
                <w:rFonts w:ascii="Times New Roman" w:hAnsi="Times New Roman"/>
                <w:sz w:val="24"/>
                <w:szCs w:val="24"/>
                <w:lang w:val="en-GB"/>
              </w:rPr>
              <w:t>y</w:t>
            </w:r>
            <w:r w:rsidRPr="00760F3B">
              <w:rPr>
                <w:rFonts w:ascii="Times New Roman" w:hAnsi="Times New Roman"/>
                <w:sz w:val="24"/>
                <w:szCs w:val="24"/>
                <w:lang w:val="en-GB"/>
              </w:rPr>
              <w:t xml:space="preserve"> of </w:t>
            </w:r>
            <w:r w:rsidR="00CC4F19">
              <w:rPr>
                <w:rFonts w:ascii="Times New Roman" w:hAnsi="Times New Roman"/>
                <w:sz w:val="24"/>
                <w:szCs w:val="24"/>
                <w:lang w:val="en-GB"/>
              </w:rPr>
              <w:t xml:space="preserve">this Table (e.g. </w:t>
            </w:r>
            <w:r w:rsidR="00CC4F19" w:rsidRPr="00760F3B">
              <w:rPr>
                <w:rFonts w:ascii="Times New Roman" w:hAnsi="Times New Roman"/>
                <w:sz w:val="24"/>
                <w:szCs w:val="24"/>
                <w:lang w:val="en-GB"/>
              </w:rPr>
              <w:t>OTC cash withdrawals</w:t>
            </w:r>
            <w:r w:rsidR="00CC4F19">
              <w:rPr>
                <w:rFonts w:ascii="Times New Roman" w:hAnsi="Times New Roman"/>
                <w:sz w:val="24"/>
                <w:szCs w:val="24"/>
                <w:lang w:val="en-GB"/>
              </w:rPr>
              <w:t xml:space="preserve"> and </w:t>
            </w:r>
            <w:r w:rsidR="00CC4F19" w:rsidRPr="00760F3B">
              <w:rPr>
                <w:rFonts w:ascii="Times New Roman" w:hAnsi="Times New Roman"/>
                <w:sz w:val="24"/>
                <w:szCs w:val="24"/>
                <w:lang w:val="en-GB"/>
              </w:rPr>
              <w:t>OTC cash deposits</w:t>
            </w:r>
            <w:r w:rsidR="00CC4F19">
              <w:rPr>
                <w:rFonts w:ascii="Times New Roman" w:hAnsi="Times New Roman"/>
                <w:sz w:val="24"/>
                <w:szCs w:val="24"/>
                <w:lang w:val="en-GB"/>
              </w:rPr>
              <w:t xml:space="preserve">). </w:t>
            </w:r>
            <w:r w:rsidRPr="00760F3B">
              <w:rPr>
                <w:rFonts w:ascii="Times New Roman" w:hAnsi="Times New Roman"/>
                <w:sz w:val="24"/>
                <w:szCs w:val="24"/>
                <w:lang w:val="en-GB"/>
              </w:rPr>
              <w:t xml:space="preserve">Transactions via telecommunication, digital or IT device are excluded from this item. </w:t>
            </w:r>
            <w:r w:rsidR="00036F32">
              <w:rPr>
                <w:rFonts w:ascii="Times New Roman" w:hAnsi="Times New Roman"/>
                <w:sz w:val="24"/>
                <w:szCs w:val="24"/>
                <w:lang w:val="en-GB"/>
              </w:rPr>
              <w:t xml:space="preserve">Money remittances are also </w:t>
            </w:r>
            <w:r w:rsidR="00CC6448" w:rsidRPr="00760F3B">
              <w:rPr>
                <w:rFonts w:ascii="Times New Roman" w:hAnsi="Times New Roman"/>
                <w:sz w:val="24"/>
                <w:szCs w:val="24"/>
                <w:lang w:val="en-GB"/>
              </w:rPr>
              <w:t>excluded from this item</w:t>
            </w:r>
            <w:r w:rsidR="00CC6448">
              <w:rPr>
                <w:rFonts w:ascii="Times New Roman" w:hAnsi="Times New Roman"/>
                <w:sz w:val="24"/>
                <w:szCs w:val="24"/>
                <w:lang w:val="en-GB"/>
              </w:rPr>
              <w:t xml:space="preserve"> </w:t>
            </w:r>
            <w:r w:rsidR="00036F32">
              <w:rPr>
                <w:rFonts w:ascii="Times New Roman" w:hAnsi="Times New Roman"/>
                <w:sz w:val="24"/>
                <w:szCs w:val="24"/>
                <w:lang w:val="en-GB"/>
              </w:rPr>
              <w:t>(as these are reported separately).</w:t>
            </w:r>
            <w:r w:rsidR="00F14369">
              <w:rPr>
                <w:rFonts w:ascii="Times New Roman" w:hAnsi="Times New Roman"/>
                <w:sz w:val="24"/>
                <w:szCs w:val="24"/>
                <w:lang w:val="en-GB"/>
              </w:rPr>
              <w:t xml:space="preserve"> </w:t>
            </w:r>
            <w:r w:rsidR="00F14369" w:rsidRPr="00F14369">
              <w:rPr>
                <w:rFonts w:ascii="Times New Roman" w:hAnsi="Times New Roman"/>
                <w:sz w:val="24"/>
                <w:szCs w:val="24"/>
                <w:lang w:val="en-GB"/>
              </w:rPr>
              <w:t>‘OTC cash withdrawals’ are included as sent other payment services, while ‘OTC cash deposits’ are included as received other payment services.</w:t>
            </w:r>
          </w:p>
          <w:p w14:paraId="34B57081" w14:textId="77777777" w:rsidR="00CC6448" w:rsidRDefault="00CC6448" w:rsidP="00CC6448">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lastRenderedPageBreak/>
              <w:t>Over the counter (OTC) cash withdrawals</w:t>
            </w:r>
            <w:r>
              <w:rPr>
                <w:rFonts w:ascii="Times New Roman" w:hAnsi="Times New Roman"/>
                <w:sz w:val="24"/>
                <w:szCs w:val="24"/>
                <w:lang w:val="en-GB"/>
              </w:rPr>
              <w:t xml:space="preserve">/ deposits reported in Table 6 are also included here as domestic transactions. </w:t>
            </w:r>
          </w:p>
          <w:p w14:paraId="53BDAE09" w14:textId="4AC24FF3" w:rsidR="00A93550" w:rsidRPr="00760F3B" w:rsidRDefault="00CC01ED" w:rsidP="00CC01ED">
            <w:pPr>
              <w:spacing w:after="120" w:line="360" w:lineRule="auto"/>
              <w:jc w:val="both"/>
              <w:rPr>
                <w:rFonts w:ascii="Times New Roman" w:hAnsi="Times New Roman"/>
                <w:sz w:val="24"/>
                <w:szCs w:val="24"/>
                <w:lang w:val="en-GB"/>
              </w:rPr>
            </w:pPr>
            <w:r w:rsidRPr="00A93550">
              <w:rPr>
                <w:rFonts w:ascii="Times New Roman" w:hAnsi="Times New Roman"/>
                <w:sz w:val="24"/>
                <w:szCs w:val="24"/>
                <w:lang w:val="en-GB"/>
              </w:rPr>
              <w:t xml:space="preserve">Cash </w:t>
            </w:r>
            <w:r>
              <w:rPr>
                <w:rFonts w:ascii="Times New Roman" w:hAnsi="Times New Roman"/>
                <w:sz w:val="24"/>
                <w:szCs w:val="24"/>
                <w:lang w:val="en-GB"/>
              </w:rPr>
              <w:t>withdrawals</w:t>
            </w:r>
            <w:r w:rsidRPr="00A93550">
              <w:rPr>
                <w:rFonts w:ascii="Times New Roman" w:hAnsi="Times New Roman"/>
                <w:sz w:val="24"/>
                <w:szCs w:val="24"/>
                <w:lang w:val="en-GB"/>
              </w:rPr>
              <w:t xml:space="preserve"> using a </w:t>
            </w:r>
            <w:r>
              <w:rPr>
                <w:rFonts w:ascii="Times New Roman" w:hAnsi="Times New Roman"/>
                <w:sz w:val="24"/>
                <w:szCs w:val="24"/>
                <w:lang w:val="en-GB"/>
              </w:rPr>
              <w:t>QR code/ Bar code</w:t>
            </w:r>
            <w:r w:rsidRPr="00A93550">
              <w:rPr>
                <w:rFonts w:ascii="Times New Roman" w:hAnsi="Times New Roman"/>
                <w:sz w:val="24"/>
                <w:szCs w:val="24"/>
                <w:lang w:val="en-GB"/>
              </w:rPr>
              <w:t xml:space="preserve">, where no card-based payment instrument is involved are reported as “Other payment services – </w:t>
            </w:r>
            <w:r>
              <w:rPr>
                <w:rFonts w:ascii="Times New Roman" w:hAnsi="Times New Roman"/>
                <w:sz w:val="24"/>
                <w:szCs w:val="24"/>
                <w:lang w:val="en-GB"/>
              </w:rPr>
              <w:t>sent</w:t>
            </w:r>
            <w:r w:rsidRPr="00A93550">
              <w:rPr>
                <w:rFonts w:ascii="Times New Roman" w:hAnsi="Times New Roman"/>
                <w:sz w:val="24"/>
                <w:szCs w:val="24"/>
                <w:lang w:val="en-GB"/>
              </w:rPr>
              <w:t>”</w:t>
            </w:r>
            <w:r>
              <w:rPr>
                <w:rFonts w:ascii="Times New Roman" w:hAnsi="Times New Roman"/>
                <w:sz w:val="24"/>
                <w:szCs w:val="24"/>
                <w:lang w:val="en-GB"/>
              </w:rPr>
              <w:t xml:space="preserve">. </w:t>
            </w:r>
            <w:r w:rsidR="00A93550" w:rsidRPr="00A93550">
              <w:rPr>
                <w:rFonts w:ascii="Times New Roman" w:hAnsi="Times New Roman"/>
                <w:sz w:val="24"/>
                <w:szCs w:val="24"/>
                <w:lang w:val="en-GB"/>
              </w:rPr>
              <w:t>Cash deposits using a QR code</w:t>
            </w:r>
            <w:r>
              <w:rPr>
                <w:rFonts w:ascii="Times New Roman" w:hAnsi="Times New Roman"/>
                <w:sz w:val="24"/>
                <w:szCs w:val="24"/>
                <w:lang w:val="en-GB"/>
              </w:rPr>
              <w:t>/ Bar code</w:t>
            </w:r>
            <w:r w:rsidR="00A93550" w:rsidRPr="00A93550">
              <w:rPr>
                <w:rFonts w:ascii="Times New Roman" w:hAnsi="Times New Roman"/>
                <w:sz w:val="24"/>
                <w:szCs w:val="24"/>
                <w:lang w:val="en-GB"/>
              </w:rPr>
              <w:t>, where no card-based payment instrument is involved are reported as “Other payment services – received”</w:t>
            </w:r>
            <w:r w:rsidR="00A93550">
              <w:rPr>
                <w:rFonts w:ascii="Times New Roman" w:hAnsi="Times New Roman"/>
                <w:sz w:val="24"/>
                <w:szCs w:val="24"/>
                <w:lang w:val="en-GB"/>
              </w:rPr>
              <w:t>.</w:t>
            </w:r>
          </w:p>
        </w:tc>
      </w:tr>
    </w:tbl>
    <w:p w14:paraId="28908D6E" w14:textId="77777777" w:rsidR="00591697" w:rsidRPr="00760F3B" w:rsidRDefault="00591697"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0F859423" w14:textId="77777777" w:rsidTr="00F40693">
        <w:tc>
          <w:tcPr>
            <w:tcW w:w="9634" w:type="dxa"/>
            <w:gridSpan w:val="2"/>
            <w:shd w:val="clear" w:color="auto" w:fill="003199"/>
          </w:tcPr>
          <w:p w14:paraId="4C8E70AE" w14:textId="587A28D2" w:rsidR="00591697" w:rsidRPr="00760F3B" w:rsidRDefault="00CC4F19" w:rsidP="00C46A42">
            <w:pPr>
              <w:spacing w:after="120" w:line="360" w:lineRule="auto"/>
              <w:jc w:val="both"/>
              <w:rPr>
                <w:rFonts w:ascii="Times New Roman" w:hAnsi="Times New Roman"/>
                <w:b/>
                <w:bCs/>
                <w:sz w:val="24"/>
                <w:szCs w:val="24"/>
                <w:lang w:val="en-GB"/>
              </w:rPr>
            </w:pPr>
            <w:r>
              <w:rPr>
                <w:rFonts w:ascii="Times New Roman" w:hAnsi="Times New Roman"/>
                <w:b/>
                <w:sz w:val="24"/>
                <w:szCs w:val="24"/>
                <w:lang w:val="en-GB"/>
              </w:rPr>
              <w:t>Payment Initiation S</w:t>
            </w:r>
            <w:r w:rsidR="00591697" w:rsidRPr="00760F3B">
              <w:rPr>
                <w:rFonts w:ascii="Times New Roman" w:hAnsi="Times New Roman"/>
                <w:b/>
                <w:sz w:val="24"/>
                <w:szCs w:val="24"/>
                <w:lang w:val="en-GB"/>
              </w:rPr>
              <w:t xml:space="preserve">ervice </w:t>
            </w:r>
            <w:r>
              <w:rPr>
                <w:rFonts w:ascii="Times New Roman" w:hAnsi="Times New Roman"/>
                <w:b/>
                <w:sz w:val="24"/>
                <w:szCs w:val="24"/>
                <w:lang w:val="en-GB"/>
              </w:rPr>
              <w:t>Sent</w:t>
            </w:r>
            <w:r w:rsidR="00C46A42">
              <w:rPr>
                <w:rFonts w:ascii="Times New Roman" w:hAnsi="Times New Roman"/>
                <w:b/>
                <w:sz w:val="24"/>
                <w:szCs w:val="24"/>
                <w:lang w:val="en-GB"/>
              </w:rPr>
              <w:t xml:space="preserve"> </w:t>
            </w:r>
            <w:r w:rsidR="00C46A42" w:rsidRPr="000F1F24">
              <w:rPr>
                <w:rFonts w:ascii="Times New Roman" w:hAnsi="Times New Roman"/>
                <w:i/>
                <w:lang w:val="en-GB"/>
              </w:rPr>
              <w:t>(</w:t>
            </w:r>
            <w:r w:rsidR="00C46A42" w:rsidRPr="000F1F24">
              <w:rPr>
                <w:rFonts w:ascii="Times New Roman" w:hAnsi="Times New Roman"/>
                <w:i/>
                <w:sz w:val="24"/>
                <w:szCs w:val="24"/>
                <w:lang w:val="en-GB"/>
              </w:rPr>
              <w:t>refers to worksheet</w:t>
            </w:r>
            <w:r w:rsidR="00C46A42">
              <w:rPr>
                <w:rFonts w:ascii="Times New Roman" w:hAnsi="Times New Roman"/>
                <w:i/>
                <w:sz w:val="24"/>
                <w:szCs w:val="24"/>
                <w:lang w:val="en-GB"/>
              </w:rPr>
              <w:t xml:space="preserve"> </w:t>
            </w:r>
            <w:r w:rsidR="00C46A42" w:rsidRPr="000F1F24">
              <w:rPr>
                <w:rFonts w:ascii="Times New Roman" w:hAnsi="Times New Roman"/>
                <w:i/>
                <w:sz w:val="24"/>
                <w:szCs w:val="24"/>
                <w:lang w:val="en-GB"/>
              </w:rPr>
              <w:t>1</w:t>
            </w:r>
            <w:r w:rsidR="00C46A42">
              <w:rPr>
                <w:rFonts w:ascii="Times New Roman" w:hAnsi="Times New Roman"/>
                <w:i/>
                <w:sz w:val="24"/>
                <w:szCs w:val="24"/>
                <w:lang w:val="en-GB"/>
              </w:rPr>
              <w:t>0</w:t>
            </w:r>
            <w:r w:rsidR="00C46A42" w:rsidRPr="000F1F24">
              <w:rPr>
                <w:rFonts w:ascii="Times New Roman" w:hAnsi="Times New Roman"/>
                <w:i/>
                <w:lang w:val="en-GB"/>
              </w:rPr>
              <w:t>)</w:t>
            </w:r>
          </w:p>
        </w:tc>
      </w:tr>
      <w:tr w:rsidR="00591697" w:rsidRPr="00F53249" w14:paraId="59F5A466" w14:textId="77777777" w:rsidTr="00F40693">
        <w:tc>
          <w:tcPr>
            <w:tcW w:w="2483" w:type="dxa"/>
          </w:tcPr>
          <w:p w14:paraId="1290BCCA"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t>Payment initiation</w:t>
            </w:r>
            <w:r w:rsidR="000F5F6E">
              <w:rPr>
                <w:rFonts w:ascii="Times New Roman" w:hAnsi="Times New Roman"/>
                <w:sz w:val="24"/>
                <w:szCs w:val="24"/>
                <w:lang w:val="en-GB"/>
              </w:rPr>
              <w:t xml:space="preserve"> services</w:t>
            </w:r>
          </w:p>
        </w:tc>
        <w:tc>
          <w:tcPr>
            <w:tcW w:w="7151" w:type="dxa"/>
          </w:tcPr>
          <w:p w14:paraId="55A73C17" w14:textId="72EB79E0" w:rsidR="00965279" w:rsidRDefault="00591697" w:rsidP="00912FCE">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This item should be reported by the PISP that has initiated the transaction and should capture the initiation service, not the ensuing payment transaction</w:t>
            </w:r>
            <w:r w:rsidR="004A166E">
              <w:rPr>
                <w:rFonts w:ascii="Times New Roman" w:hAnsi="Times New Roman"/>
                <w:sz w:val="24"/>
                <w:szCs w:val="24"/>
                <w:lang w:val="en-GB"/>
              </w:rPr>
              <w:t xml:space="preserve"> (i.e. </w:t>
            </w:r>
            <w:r w:rsidR="004A166E" w:rsidRPr="002D24D2">
              <w:rPr>
                <w:rFonts w:ascii="Times New Roman" w:hAnsi="Times New Roman"/>
                <w:sz w:val="24"/>
                <w:szCs w:val="24"/>
                <w:lang w:val="en-GB"/>
              </w:rPr>
              <w:t>PISPs report all payment transactions they initiate</w:t>
            </w:r>
            <w:r w:rsidR="004A166E" w:rsidRPr="004A166E">
              <w:rPr>
                <w:rFonts w:ascii="Times New Roman" w:hAnsi="Times New Roman"/>
                <w:sz w:val="24"/>
                <w:szCs w:val="24"/>
                <w:lang w:val="en-GB"/>
              </w:rPr>
              <w:t>)</w:t>
            </w:r>
            <w:r w:rsidRPr="00760F3B">
              <w:rPr>
                <w:rFonts w:ascii="Times New Roman" w:hAnsi="Times New Roman"/>
                <w:sz w:val="24"/>
                <w:szCs w:val="24"/>
                <w:lang w:val="en-GB"/>
              </w:rPr>
              <w:t xml:space="preserve">. </w:t>
            </w:r>
          </w:p>
          <w:p w14:paraId="14F55C61" w14:textId="77777777" w:rsidR="00445AF8" w:rsidRDefault="00965279" w:rsidP="00834767">
            <w:pPr>
              <w:spacing w:after="120" w:line="360" w:lineRule="auto"/>
              <w:jc w:val="both"/>
              <w:rPr>
                <w:rFonts w:ascii="Times New Roman" w:hAnsi="Times New Roman"/>
                <w:sz w:val="24"/>
                <w:szCs w:val="24"/>
                <w:lang w:val="en-GB"/>
              </w:rPr>
            </w:pPr>
            <w:r>
              <w:rPr>
                <w:rFonts w:ascii="Times New Roman" w:hAnsi="Times New Roman"/>
                <w:sz w:val="24"/>
                <w:szCs w:val="24"/>
                <w:lang w:val="en-GB"/>
              </w:rPr>
              <w:t>Payment initiation services</w:t>
            </w:r>
            <w:r w:rsidRPr="00760F3B">
              <w:rPr>
                <w:rFonts w:ascii="Times New Roman" w:hAnsi="Times New Roman"/>
                <w:sz w:val="24"/>
                <w:szCs w:val="24"/>
                <w:lang w:val="en-GB"/>
              </w:rPr>
              <w:t xml:space="preserve"> are the sum of </w:t>
            </w:r>
            <w:r>
              <w:rPr>
                <w:rFonts w:ascii="Times New Roman" w:hAnsi="Times New Roman"/>
                <w:sz w:val="24"/>
                <w:szCs w:val="24"/>
                <w:lang w:val="en-GB"/>
              </w:rPr>
              <w:t>‘credit transfers’ and ‘other’</w:t>
            </w:r>
            <w:r w:rsidR="00244A16">
              <w:rPr>
                <w:rStyle w:val="FootnoteReference"/>
                <w:rFonts w:ascii="Times New Roman" w:hAnsi="Times New Roman"/>
                <w:sz w:val="24"/>
                <w:szCs w:val="24"/>
                <w:lang w:val="en-GB"/>
              </w:rPr>
              <w:footnoteReference w:id="81"/>
            </w:r>
            <w:r>
              <w:rPr>
                <w:rFonts w:ascii="Times New Roman" w:hAnsi="Times New Roman"/>
                <w:sz w:val="24"/>
                <w:szCs w:val="24"/>
                <w:lang w:val="en-GB"/>
              </w:rPr>
              <w:t>. In addition, payment initiation services</w:t>
            </w:r>
            <w:r w:rsidRPr="00760F3B">
              <w:rPr>
                <w:rFonts w:ascii="Times New Roman" w:hAnsi="Times New Roman"/>
                <w:sz w:val="24"/>
                <w:szCs w:val="24"/>
                <w:lang w:val="en-GB"/>
              </w:rPr>
              <w:t xml:space="preserve"> are </w:t>
            </w:r>
            <w:r w:rsidR="00244A16">
              <w:rPr>
                <w:rFonts w:ascii="Times New Roman" w:hAnsi="Times New Roman"/>
                <w:sz w:val="24"/>
                <w:szCs w:val="24"/>
                <w:lang w:val="en-GB"/>
              </w:rPr>
              <w:t>the sum of</w:t>
            </w:r>
            <w:r w:rsidRPr="00760F3B">
              <w:rPr>
                <w:rFonts w:ascii="Times New Roman" w:hAnsi="Times New Roman"/>
                <w:sz w:val="24"/>
                <w:szCs w:val="24"/>
                <w:lang w:val="en-GB"/>
              </w:rPr>
              <w:t xml:space="preserve"> ‘</w:t>
            </w:r>
            <w:r w:rsidR="00244A16">
              <w:rPr>
                <w:rFonts w:ascii="Times New Roman" w:hAnsi="Times New Roman"/>
                <w:sz w:val="24"/>
                <w:szCs w:val="24"/>
                <w:lang w:val="en-GB"/>
              </w:rPr>
              <w:t>remote</w:t>
            </w:r>
            <w:r w:rsidRPr="00760F3B">
              <w:rPr>
                <w:rFonts w:ascii="Times New Roman" w:hAnsi="Times New Roman"/>
                <w:sz w:val="24"/>
                <w:szCs w:val="24"/>
                <w:lang w:val="en-GB"/>
              </w:rPr>
              <w:t>’</w:t>
            </w:r>
            <w:r>
              <w:rPr>
                <w:rStyle w:val="FootnoteReference"/>
                <w:lang w:val="en-GB"/>
              </w:rPr>
              <w:t xml:space="preserve"> </w:t>
            </w:r>
            <w:r>
              <w:rPr>
                <w:rFonts w:ascii="Times New Roman" w:hAnsi="Times New Roman"/>
                <w:sz w:val="24"/>
                <w:szCs w:val="24"/>
                <w:lang w:val="en-GB"/>
              </w:rPr>
              <w:t xml:space="preserve">and </w:t>
            </w:r>
            <w:r w:rsidRPr="00760F3B">
              <w:rPr>
                <w:rFonts w:ascii="Times New Roman" w:hAnsi="Times New Roman"/>
                <w:sz w:val="24"/>
                <w:szCs w:val="24"/>
                <w:lang w:val="en-GB"/>
              </w:rPr>
              <w:t>‘</w:t>
            </w:r>
            <w:r>
              <w:rPr>
                <w:rFonts w:ascii="Times New Roman" w:hAnsi="Times New Roman"/>
                <w:sz w:val="24"/>
                <w:szCs w:val="24"/>
                <w:lang w:val="en-GB"/>
              </w:rPr>
              <w:t>non-remote</w:t>
            </w:r>
            <w:r w:rsidRPr="00760F3B">
              <w:rPr>
                <w:rFonts w:ascii="Times New Roman" w:hAnsi="Times New Roman"/>
                <w:sz w:val="24"/>
                <w:szCs w:val="24"/>
                <w:lang w:val="en-GB"/>
              </w:rPr>
              <w:t>’</w:t>
            </w:r>
            <w:r w:rsidR="00244A16">
              <w:rPr>
                <w:rFonts w:ascii="Times New Roman" w:hAnsi="Times New Roman"/>
                <w:sz w:val="24"/>
                <w:szCs w:val="24"/>
                <w:lang w:val="en-GB"/>
              </w:rPr>
              <w:t xml:space="preserve"> payment channel,</w:t>
            </w:r>
            <w:r w:rsidRPr="00760F3B">
              <w:rPr>
                <w:rFonts w:ascii="Times New Roman" w:hAnsi="Times New Roman"/>
                <w:sz w:val="24"/>
                <w:szCs w:val="24"/>
                <w:lang w:val="en-GB"/>
              </w:rPr>
              <w:t xml:space="preserve"> </w:t>
            </w:r>
            <w:r w:rsidR="00244A16">
              <w:rPr>
                <w:rFonts w:ascii="Times New Roman" w:hAnsi="Times New Roman"/>
                <w:sz w:val="24"/>
                <w:szCs w:val="24"/>
                <w:lang w:val="en-GB"/>
              </w:rPr>
              <w:t xml:space="preserve">within which </w:t>
            </w:r>
            <w:r w:rsidR="00BF787F">
              <w:rPr>
                <w:rFonts w:ascii="Times New Roman" w:hAnsi="Times New Roman"/>
                <w:sz w:val="24"/>
                <w:szCs w:val="24"/>
                <w:lang w:val="en-GB"/>
              </w:rPr>
              <w:t xml:space="preserve">these </w:t>
            </w:r>
            <w:r w:rsidR="00244A16">
              <w:rPr>
                <w:rFonts w:ascii="Times New Roman" w:hAnsi="Times New Roman"/>
                <w:sz w:val="24"/>
                <w:szCs w:val="24"/>
                <w:lang w:val="en-GB"/>
              </w:rPr>
              <w:t xml:space="preserve">are further broken down into the </w:t>
            </w:r>
            <w:r>
              <w:rPr>
                <w:rFonts w:ascii="Times New Roman" w:hAnsi="Times New Roman"/>
                <w:sz w:val="24"/>
                <w:szCs w:val="24"/>
                <w:lang w:val="en-GB"/>
              </w:rPr>
              <w:t>mutually exclusive</w:t>
            </w:r>
            <w:r w:rsidR="00244A16">
              <w:rPr>
                <w:rFonts w:ascii="Times New Roman" w:hAnsi="Times New Roman"/>
                <w:sz w:val="24"/>
                <w:szCs w:val="24"/>
                <w:lang w:val="en-GB"/>
              </w:rPr>
              <w:t xml:space="preserve"> sub-categories ‘authenticated via SCA’ and ‘authenticated via non-SCA’</w:t>
            </w:r>
            <w:r>
              <w:rPr>
                <w:rFonts w:ascii="Times New Roman" w:hAnsi="Times New Roman"/>
                <w:sz w:val="24"/>
                <w:szCs w:val="24"/>
                <w:lang w:val="en-GB"/>
              </w:rPr>
              <w:t>.</w:t>
            </w:r>
          </w:p>
          <w:p w14:paraId="0BB92CBA" w14:textId="380C6B49" w:rsidR="00077C4D" w:rsidRPr="00077C4D" w:rsidRDefault="004A166E" w:rsidP="00196B70">
            <w:pPr>
              <w:spacing w:after="120" w:line="360" w:lineRule="auto"/>
              <w:jc w:val="both"/>
              <w:rPr>
                <w:rFonts w:ascii="Times New Roman" w:hAnsi="Times New Roman"/>
                <w:sz w:val="24"/>
                <w:szCs w:val="24"/>
                <w:lang w:val="en-GB"/>
              </w:rPr>
            </w:pPr>
            <w:r w:rsidRPr="002D24D2">
              <w:rPr>
                <w:rFonts w:ascii="Times New Roman" w:hAnsi="Times New Roman"/>
                <w:sz w:val="24"/>
                <w:szCs w:val="24"/>
                <w:lang w:val="en-GB"/>
              </w:rPr>
              <w:t>It should be noted that</w:t>
            </w:r>
            <w:r w:rsidR="009602B5">
              <w:rPr>
                <w:rFonts w:ascii="Times New Roman" w:hAnsi="Times New Roman"/>
                <w:sz w:val="24"/>
                <w:szCs w:val="24"/>
                <w:lang w:val="en-GB"/>
              </w:rPr>
              <w:t xml:space="preserve"> </w:t>
            </w:r>
            <w:r w:rsidRPr="002D24D2">
              <w:rPr>
                <w:rFonts w:ascii="Times New Roman" w:hAnsi="Times New Roman"/>
                <w:sz w:val="24"/>
                <w:szCs w:val="24"/>
                <w:lang w:val="en-GB"/>
              </w:rPr>
              <w:t xml:space="preserve">the number/value of </w:t>
            </w:r>
            <w:r w:rsidR="00196B70">
              <w:rPr>
                <w:rFonts w:ascii="Times New Roman" w:hAnsi="Times New Roman"/>
                <w:sz w:val="24"/>
                <w:szCs w:val="24"/>
                <w:lang w:val="en-GB"/>
              </w:rPr>
              <w:t>C</w:t>
            </w:r>
            <w:r w:rsidRPr="002D24D2">
              <w:rPr>
                <w:rFonts w:ascii="Times New Roman" w:hAnsi="Times New Roman"/>
                <w:sz w:val="24"/>
                <w:szCs w:val="24"/>
                <w:lang w:val="en-GB"/>
              </w:rPr>
              <w:t xml:space="preserve">redit transfers reported by PISPs under </w:t>
            </w:r>
            <w:r w:rsidR="00196B70">
              <w:rPr>
                <w:rFonts w:ascii="Times New Roman" w:hAnsi="Times New Roman"/>
                <w:sz w:val="24"/>
                <w:szCs w:val="24"/>
                <w:lang w:val="en-GB"/>
              </w:rPr>
              <w:t>‘Payment Initiation S</w:t>
            </w:r>
            <w:r w:rsidRPr="002D24D2">
              <w:rPr>
                <w:rFonts w:ascii="Times New Roman" w:hAnsi="Times New Roman"/>
                <w:sz w:val="24"/>
                <w:szCs w:val="24"/>
                <w:lang w:val="en-GB"/>
              </w:rPr>
              <w:t xml:space="preserve">ervices </w:t>
            </w:r>
            <w:r w:rsidR="00196B70">
              <w:rPr>
                <w:rFonts w:ascii="Times New Roman" w:hAnsi="Times New Roman"/>
                <w:sz w:val="24"/>
                <w:szCs w:val="24"/>
                <w:lang w:val="en-GB"/>
              </w:rPr>
              <w:t>Sent’</w:t>
            </w:r>
            <w:r w:rsidR="009602B5">
              <w:rPr>
                <w:rFonts w:ascii="Times New Roman" w:hAnsi="Times New Roman"/>
                <w:sz w:val="24"/>
                <w:szCs w:val="24"/>
                <w:lang w:val="en-GB"/>
              </w:rPr>
              <w:t xml:space="preserve"> </w:t>
            </w:r>
            <w:r w:rsidR="009602B5" w:rsidRPr="002D24D2">
              <w:rPr>
                <w:rFonts w:ascii="Times New Roman" w:hAnsi="Times New Roman"/>
                <w:sz w:val="24"/>
                <w:szCs w:val="24"/>
                <w:lang w:val="en-GB"/>
              </w:rPr>
              <w:t>does not equal the</w:t>
            </w:r>
            <w:r w:rsidR="00196B70">
              <w:rPr>
                <w:rFonts w:ascii="Times New Roman" w:hAnsi="Times New Roman"/>
                <w:sz w:val="24"/>
                <w:szCs w:val="24"/>
                <w:lang w:val="en-GB"/>
              </w:rPr>
              <w:t xml:space="preserve"> item reported under ‘Credit Transfers Sent’, namely</w:t>
            </w:r>
            <w:r w:rsidR="00196B70" w:rsidRPr="00E27FB1">
              <w:rPr>
                <w:rFonts w:ascii="Times New Roman" w:hAnsi="Times New Roman"/>
                <w:sz w:val="24"/>
                <w:szCs w:val="24"/>
                <w:lang w:val="en-GB"/>
              </w:rPr>
              <w:t xml:space="preserve"> </w:t>
            </w:r>
            <w:r w:rsidR="009602B5" w:rsidRPr="00E27FB1">
              <w:rPr>
                <w:rFonts w:ascii="Times New Roman" w:hAnsi="Times New Roman"/>
                <w:sz w:val="24"/>
                <w:szCs w:val="24"/>
                <w:lang w:val="en-GB"/>
              </w:rPr>
              <w:t>‘of which initiated by PISP’</w:t>
            </w:r>
            <w:r w:rsidR="00196B70">
              <w:rPr>
                <w:rFonts w:ascii="Times New Roman" w:hAnsi="Times New Roman"/>
                <w:sz w:val="24"/>
                <w:szCs w:val="24"/>
                <w:lang w:val="en-GB"/>
              </w:rPr>
              <w:t>.</w:t>
            </w:r>
            <w:r w:rsidR="00E27FB1">
              <w:rPr>
                <w:rFonts w:ascii="Times New Roman" w:hAnsi="Times New Roman"/>
                <w:sz w:val="24"/>
                <w:szCs w:val="24"/>
                <w:lang w:val="en-GB"/>
              </w:rPr>
              <w:t xml:space="preserve"> </w:t>
            </w:r>
          </w:p>
        </w:tc>
      </w:tr>
    </w:tbl>
    <w:p w14:paraId="3FB0CC2C" w14:textId="7D3B04C1" w:rsidR="00591697" w:rsidRDefault="00591697" w:rsidP="00760F3B">
      <w:pPr>
        <w:jc w:val="both"/>
        <w:rPr>
          <w:rFonts w:ascii="Times New Roman" w:hAnsi="Times New Roman"/>
          <w:lang w:val="en-GB"/>
        </w:rPr>
      </w:pPr>
    </w:p>
    <w:tbl>
      <w:tblPr>
        <w:tblStyle w:val="TableGrid"/>
        <w:tblW w:w="0" w:type="auto"/>
        <w:tblLook w:val="04A0" w:firstRow="1" w:lastRow="0" w:firstColumn="1" w:lastColumn="0" w:noHBand="0" w:noVBand="1"/>
      </w:tblPr>
      <w:tblGrid>
        <w:gridCol w:w="2483"/>
        <w:gridCol w:w="7151"/>
      </w:tblGrid>
      <w:tr w:rsidR="00591697" w:rsidRPr="00F53249" w14:paraId="1293B0A0" w14:textId="77777777" w:rsidTr="00F40693">
        <w:tc>
          <w:tcPr>
            <w:tcW w:w="9634" w:type="dxa"/>
            <w:gridSpan w:val="2"/>
            <w:shd w:val="clear" w:color="auto" w:fill="003199"/>
          </w:tcPr>
          <w:p w14:paraId="7C959C22" w14:textId="5F01B790" w:rsidR="00591697" w:rsidRPr="00760F3B" w:rsidRDefault="00591697" w:rsidP="00C46A42">
            <w:pPr>
              <w:spacing w:after="120" w:line="360" w:lineRule="auto"/>
              <w:jc w:val="both"/>
              <w:rPr>
                <w:rFonts w:ascii="Times New Roman" w:hAnsi="Times New Roman"/>
                <w:b/>
                <w:bCs/>
                <w:sz w:val="24"/>
                <w:szCs w:val="24"/>
                <w:lang w:val="en-GB"/>
              </w:rPr>
            </w:pPr>
            <w:r w:rsidRPr="00760F3B">
              <w:rPr>
                <w:rFonts w:ascii="Times New Roman" w:hAnsi="Times New Roman"/>
                <w:b/>
                <w:bCs/>
                <w:sz w:val="24"/>
                <w:szCs w:val="24"/>
                <w:lang w:val="en-GB"/>
              </w:rPr>
              <w:t>Other services (not included in Directive (EU) 2015/2366)</w:t>
            </w:r>
            <w:r w:rsidR="00C46A42">
              <w:rPr>
                <w:rFonts w:ascii="Times New Roman" w:hAnsi="Times New Roman"/>
                <w:b/>
                <w:bCs/>
                <w:sz w:val="24"/>
                <w:szCs w:val="24"/>
                <w:lang w:val="en-GB"/>
              </w:rPr>
              <w:t xml:space="preserve"> </w:t>
            </w:r>
            <w:r w:rsidR="00C46A42" w:rsidRPr="000F1F24">
              <w:rPr>
                <w:rFonts w:ascii="Times New Roman" w:hAnsi="Times New Roman"/>
                <w:i/>
                <w:lang w:val="en-GB"/>
              </w:rPr>
              <w:t>(</w:t>
            </w:r>
            <w:r w:rsidR="00C46A42" w:rsidRPr="000F1F24">
              <w:rPr>
                <w:rFonts w:ascii="Times New Roman" w:hAnsi="Times New Roman"/>
                <w:i/>
                <w:sz w:val="24"/>
                <w:szCs w:val="24"/>
                <w:lang w:val="en-GB"/>
              </w:rPr>
              <w:t>refers to worksheet 1</w:t>
            </w:r>
            <w:r w:rsidR="00C46A42">
              <w:rPr>
                <w:rFonts w:ascii="Times New Roman" w:hAnsi="Times New Roman"/>
                <w:i/>
                <w:sz w:val="24"/>
                <w:szCs w:val="24"/>
                <w:lang w:val="en-GB"/>
              </w:rPr>
              <w:t>0</w:t>
            </w:r>
            <w:r w:rsidR="00C46A42" w:rsidRPr="000F1F24">
              <w:rPr>
                <w:rFonts w:ascii="Times New Roman" w:hAnsi="Times New Roman"/>
                <w:i/>
                <w:lang w:val="en-GB"/>
              </w:rPr>
              <w:t>)</w:t>
            </w:r>
          </w:p>
        </w:tc>
      </w:tr>
      <w:tr w:rsidR="00591697" w:rsidRPr="00F53249" w14:paraId="4EA41654" w14:textId="77777777" w:rsidTr="00F40693">
        <w:tc>
          <w:tcPr>
            <w:tcW w:w="2483" w:type="dxa"/>
          </w:tcPr>
          <w:p w14:paraId="46EBAFBC"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t>Credits to the accounts by simple book entry</w:t>
            </w:r>
          </w:p>
        </w:tc>
        <w:tc>
          <w:tcPr>
            <w:tcW w:w="7151" w:type="dxa"/>
          </w:tcPr>
          <w:p w14:paraId="5AC18F52" w14:textId="77777777" w:rsidR="00985489" w:rsidRPr="00760F3B" w:rsidRDefault="00591697" w:rsidP="007D6320">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Report the number and value of credit transaction initiated by </w:t>
            </w:r>
            <w:r w:rsidR="007D6320">
              <w:rPr>
                <w:rFonts w:ascii="Times New Roman" w:hAnsi="Times New Roman"/>
                <w:sz w:val="24"/>
                <w:szCs w:val="24"/>
                <w:lang w:val="en-GB"/>
              </w:rPr>
              <w:t>the</w:t>
            </w:r>
            <w:r w:rsidRPr="00760F3B">
              <w:rPr>
                <w:rFonts w:ascii="Times New Roman" w:hAnsi="Times New Roman"/>
                <w:sz w:val="24"/>
                <w:szCs w:val="24"/>
                <w:lang w:val="en-GB"/>
              </w:rPr>
              <w:t xml:space="preserve"> </w:t>
            </w:r>
            <w:r w:rsidR="0063141D">
              <w:rPr>
                <w:rFonts w:ascii="Times New Roman" w:hAnsi="Times New Roman"/>
                <w:sz w:val="24"/>
                <w:szCs w:val="24"/>
                <w:lang w:val="en-GB"/>
              </w:rPr>
              <w:t>Reporting Agent</w:t>
            </w:r>
            <w:r w:rsidRPr="00760F3B">
              <w:rPr>
                <w:rFonts w:ascii="Times New Roman" w:hAnsi="Times New Roman"/>
                <w:sz w:val="24"/>
                <w:szCs w:val="24"/>
                <w:lang w:val="en-GB"/>
              </w:rPr>
              <w:t xml:space="preserve"> without a specific transaction order and</w:t>
            </w:r>
            <w:r w:rsidR="00244A16">
              <w:rPr>
                <w:rFonts w:ascii="Times New Roman" w:hAnsi="Times New Roman"/>
                <w:sz w:val="24"/>
                <w:szCs w:val="24"/>
                <w:lang w:val="en-GB"/>
              </w:rPr>
              <w:t xml:space="preserve"> executed by simple book entry</w:t>
            </w:r>
            <w:r w:rsidR="00244A16">
              <w:rPr>
                <w:rStyle w:val="FootnoteReference"/>
                <w:rFonts w:ascii="Times New Roman" w:hAnsi="Times New Roman"/>
                <w:sz w:val="24"/>
                <w:szCs w:val="24"/>
                <w:lang w:val="en-GB"/>
              </w:rPr>
              <w:footnoteReference w:id="82"/>
            </w:r>
            <w:r w:rsidRPr="00760F3B">
              <w:rPr>
                <w:rFonts w:ascii="Times New Roman" w:hAnsi="Times New Roman"/>
                <w:sz w:val="24"/>
                <w:szCs w:val="24"/>
                <w:lang w:val="en-GB"/>
              </w:rPr>
              <w:t xml:space="preserve">. </w:t>
            </w:r>
          </w:p>
        </w:tc>
      </w:tr>
      <w:tr w:rsidR="00591697" w:rsidRPr="00F53249" w14:paraId="369133EF" w14:textId="77777777" w:rsidTr="00F40693">
        <w:tc>
          <w:tcPr>
            <w:tcW w:w="2483" w:type="dxa"/>
          </w:tcPr>
          <w:p w14:paraId="07F970AE"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lastRenderedPageBreak/>
              <w:t>Debits from the accounts by simple book entry</w:t>
            </w:r>
          </w:p>
        </w:tc>
        <w:tc>
          <w:tcPr>
            <w:tcW w:w="7151" w:type="dxa"/>
          </w:tcPr>
          <w:p w14:paraId="076486BA" w14:textId="77777777" w:rsidR="00591697" w:rsidRPr="00760F3B" w:rsidRDefault="00591697" w:rsidP="007D6320">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Report the number and value of debit transactions initiated by the Reporting Agent and executed by a simple debit book entry to the account of the customer without the use of a traditional payment service</w:t>
            </w:r>
            <w:r w:rsidR="007D6320">
              <w:rPr>
                <w:rStyle w:val="FootnoteReference"/>
                <w:rFonts w:ascii="Times New Roman" w:hAnsi="Times New Roman"/>
                <w:sz w:val="24"/>
                <w:szCs w:val="24"/>
                <w:lang w:val="en-GB"/>
              </w:rPr>
              <w:footnoteReference w:id="83"/>
            </w:r>
            <w:r w:rsidRPr="00760F3B">
              <w:rPr>
                <w:rFonts w:ascii="Times New Roman" w:hAnsi="Times New Roman"/>
                <w:sz w:val="24"/>
                <w:szCs w:val="24"/>
                <w:lang w:val="en-GB"/>
              </w:rPr>
              <w:t xml:space="preserve">.  </w:t>
            </w:r>
          </w:p>
        </w:tc>
      </w:tr>
    </w:tbl>
    <w:p w14:paraId="7B8231A9" w14:textId="77777777" w:rsidR="00150608" w:rsidRDefault="00150608" w:rsidP="00150608">
      <w:pPr>
        <w:rPr>
          <w:lang w:val="en-GB"/>
        </w:rPr>
      </w:pPr>
      <w:bookmarkStart w:id="48" w:name="_Toc72046187"/>
    </w:p>
    <w:p w14:paraId="4CB8186E" w14:textId="77777777" w:rsidR="00150608" w:rsidRDefault="00150608" w:rsidP="00150608">
      <w:pPr>
        <w:rPr>
          <w:lang w:val="en-GB"/>
        </w:rPr>
      </w:pPr>
    </w:p>
    <w:bookmarkEnd w:id="48"/>
    <w:p w14:paraId="022C3810" w14:textId="56D12AAA" w:rsidR="00C46A42" w:rsidRPr="00284306" w:rsidRDefault="00591697" w:rsidP="006625A4">
      <w:pPr>
        <w:pStyle w:val="Heading4"/>
        <w:numPr>
          <w:ilvl w:val="0"/>
          <w:numId w:val="34"/>
        </w:numPr>
        <w:rPr>
          <w:rFonts w:ascii="Times New Roman" w:hAnsi="Times New Roman"/>
          <w:color w:val="ED7D31" w:themeColor="accent2"/>
          <w:sz w:val="24"/>
          <w:szCs w:val="24"/>
          <w:lang w:val="en-GB"/>
        </w:rPr>
      </w:pPr>
      <w:r w:rsidRPr="00C46A42">
        <w:rPr>
          <w:rFonts w:ascii="Times New Roman" w:hAnsi="Times New Roman" w:cs="Times New Roman"/>
          <w:color w:val="003199"/>
          <w:lang w:val="en-GB"/>
        </w:rPr>
        <w:t>Table 6: Payment transactions per type of terminal involving non-MFIs</w:t>
      </w:r>
      <w:r w:rsidR="00D339E0" w:rsidRPr="00C46A42">
        <w:rPr>
          <w:rFonts w:ascii="Times New Roman" w:hAnsi="Times New Roman"/>
          <w:vertAlign w:val="superscript"/>
          <w:lang w:val="en-GB"/>
        </w:rPr>
        <w:fldChar w:fldCharType="begin"/>
      </w:r>
      <w:r w:rsidR="00D339E0" w:rsidRPr="00C46A42">
        <w:rPr>
          <w:rFonts w:ascii="Times New Roman" w:hAnsi="Times New Roman"/>
          <w:vertAlign w:val="superscript"/>
          <w:lang w:val="en-GB"/>
        </w:rPr>
        <w:instrText xml:space="preserve"> NOTEREF _Ref88719588 \h  \* MERGEFORMAT </w:instrText>
      </w:r>
      <w:r w:rsidR="00D339E0" w:rsidRPr="00C46A42">
        <w:rPr>
          <w:rFonts w:ascii="Times New Roman" w:hAnsi="Times New Roman"/>
          <w:vertAlign w:val="superscript"/>
          <w:lang w:val="en-GB"/>
        </w:rPr>
      </w:r>
      <w:r w:rsidR="00D339E0" w:rsidRPr="00C46A42">
        <w:rPr>
          <w:rFonts w:ascii="Times New Roman" w:hAnsi="Times New Roman"/>
          <w:vertAlign w:val="superscript"/>
          <w:lang w:val="en-GB"/>
        </w:rPr>
        <w:fldChar w:fldCharType="separate"/>
      </w:r>
      <w:r w:rsidR="00F53249">
        <w:rPr>
          <w:rFonts w:ascii="Times New Roman" w:hAnsi="Times New Roman"/>
          <w:vertAlign w:val="superscript"/>
          <w:lang w:val="en-GB"/>
        </w:rPr>
        <w:t>2</w:t>
      </w:r>
      <w:r w:rsidR="00D339E0" w:rsidRPr="00C46A42">
        <w:rPr>
          <w:rFonts w:ascii="Times New Roman" w:hAnsi="Times New Roman"/>
          <w:vertAlign w:val="superscript"/>
          <w:lang w:val="en-GB"/>
        </w:rPr>
        <w:fldChar w:fldCharType="end"/>
      </w:r>
      <w:r w:rsidR="00C46A42">
        <w:rPr>
          <w:rFonts w:ascii="Times New Roman" w:hAnsi="Times New Roman"/>
          <w:vertAlign w:val="superscript"/>
          <w:lang w:val="en-GB"/>
        </w:rPr>
        <w:t xml:space="preserve"> </w:t>
      </w:r>
      <w:r w:rsidR="00C46A42" w:rsidRPr="00284306">
        <w:rPr>
          <w:rFonts w:ascii="Times New Roman" w:hAnsi="Times New Roman" w:cs="Times New Roman"/>
          <w:i w:val="0"/>
          <w:color w:val="ED7D31" w:themeColor="accent2"/>
          <w:lang w:val="en-GB"/>
        </w:rPr>
        <w:t>(refers to worksheet 4)</w:t>
      </w:r>
    </w:p>
    <w:p w14:paraId="215A8100" w14:textId="5BAC75B3" w:rsidR="00C37DEA" w:rsidRPr="00C37DEA" w:rsidRDefault="00C37DEA" w:rsidP="00760F3B">
      <w:pPr>
        <w:autoSpaceDE w:val="0"/>
        <w:autoSpaceDN w:val="0"/>
        <w:adjustRightInd w:val="0"/>
        <w:spacing w:after="120" w:line="360" w:lineRule="auto"/>
        <w:jc w:val="both"/>
        <w:rPr>
          <w:rFonts w:ascii="Times New Roman" w:hAnsi="Times New Roman"/>
          <w:sz w:val="24"/>
          <w:szCs w:val="24"/>
          <w:lang w:val="en-GB"/>
        </w:rPr>
      </w:pPr>
      <w:r w:rsidRPr="00030FC1">
        <w:rPr>
          <w:rFonts w:ascii="Times New Roman" w:hAnsi="Times New Roman"/>
          <w:sz w:val="24"/>
          <w:szCs w:val="24"/>
          <w:lang w:val="en-GB"/>
        </w:rPr>
        <w:t>All indicators in this table refer to cash or cashless payment transactions performed at a physical (not virtual) terminal</w:t>
      </w:r>
      <w:r w:rsidR="00CF1FA7">
        <w:rPr>
          <w:rStyle w:val="FootnoteReference"/>
          <w:rFonts w:ascii="Times New Roman" w:hAnsi="Times New Roman"/>
          <w:sz w:val="24"/>
          <w:szCs w:val="24"/>
          <w:lang w:val="en-GB"/>
        </w:rPr>
        <w:footnoteReference w:id="84"/>
      </w:r>
      <w:r w:rsidRPr="00030FC1">
        <w:rPr>
          <w:rFonts w:ascii="Times New Roman" w:hAnsi="Times New Roman"/>
          <w:sz w:val="24"/>
          <w:szCs w:val="24"/>
          <w:lang w:val="en-GB"/>
        </w:rPr>
        <w:t>.</w:t>
      </w:r>
      <w:r w:rsidR="00030FC1">
        <w:rPr>
          <w:rFonts w:ascii="Times New Roman" w:hAnsi="Times New Roman"/>
          <w:sz w:val="24"/>
          <w:szCs w:val="24"/>
          <w:lang w:val="en-GB"/>
        </w:rPr>
        <w:t xml:space="preserve"> </w:t>
      </w:r>
      <w:r w:rsidR="00030FC1" w:rsidRPr="00760F3B">
        <w:rPr>
          <w:rFonts w:ascii="Times New Roman" w:hAnsi="Times New Roman"/>
          <w:b/>
          <w:color w:val="003199"/>
          <w:sz w:val="24"/>
          <w:szCs w:val="24"/>
          <w:lang w:val="en-GB"/>
        </w:rPr>
        <w:t>The geographical breakdown is based on the location of the terminal</w:t>
      </w:r>
      <w:r w:rsidR="00030FC1">
        <w:rPr>
          <w:rFonts w:ascii="Times New Roman" w:hAnsi="Times New Roman"/>
          <w:sz w:val="24"/>
          <w:szCs w:val="24"/>
          <w:lang w:val="en-GB"/>
        </w:rPr>
        <w:t>.</w:t>
      </w:r>
    </w:p>
    <w:p w14:paraId="2813A588" w14:textId="415CF1B0" w:rsidR="00626AA1" w:rsidRDefault="00793436" w:rsidP="00C37DEA">
      <w:pPr>
        <w:spacing w:after="120" w:line="360" w:lineRule="auto"/>
        <w:jc w:val="both"/>
        <w:rPr>
          <w:rFonts w:ascii="Times New Roman" w:hAnsi="Times New Roman"/>
          <w:sz w:val="24"/>
          <w:szCs w:val="24"/>
          <w:lang w:val="en-GB"/>
        </w:rPr>
      </w:pPr>
      <w:r w:rsidRPr="00D34B6B">
        <w:rPr>
          <w:rFonts w:ascii="Times New Roman" w:hAnsi="Times New Roman"/>
          <w:sz w:val="24"/>
          <w:szCs w:val="24"/>
          <w:lang w:val="en-GB"/>
        </w:rPr>
        <w:t xml:space="preserve">Payment transactions </w:t>
      </w:r>
      <w:r w:rsidR="00E0746F" w:rsidRPr="00D34B6B">
        <w:rPr>
          <w:rFonts w:ascii="Times New Roman" w:hAnsi="Times New Roman"/>
          <w:sz w:val="24"/>
          <w:szCs w:val="24"/>
          <w:lang w:val="en-GB"/>
        </w:rPr>
        <w:t xml:space="preserve">are </w:t>
      </w:r>
      <w:r w:rsidR="0019445D">
        <w:rPr>
          <w:rFonts w:ascii="Times New Roman" w:hAnsi="Times New Roman"/>
          <w:sz w:val="24"/>
          <w:szCs w:val="24"/>
          <w:lang w:val="en-GB"/>
        </w:rPr>
        <w:t xml:space="preserve">reported per type of terminal and are </w:t>
      </w:r>
      <w:r w:rsidR="00E0746F" w:rsidRPr="00D34B6B">
        <w:rPr>
          <w:rFonts w:ascii="Times New Roman" w:hAnsi="Times New Roman"/>
          <w:sz w:val="24"/>
          <w:szCs w:val="24"/>
          <w:lang w:val="en-GB"/>
        </w:rPr>
        <w:t>further broken down into the subcategories ‘ATM cash withdrawals (except e-money transactions)’, ‘ATM cash deposits (except e-money transactions)’, ‘Other ATM transactions</w:t>
      </w:r>
      <w:r w:rsidR="00F81C93">
        <w:rPr>
          <w:rStyle w:val="FootnoteReference"/>
          <w:rFonts w:ascii="Times New Roman" w:hAnsi="Times New Roman"/>
          <w:sz w:val="24"/>
          <w:szCs w:val="24"/>
          <w:lang w:val="en-GB"/>
        </w:rPr>
        <w:footnoteReference w:id="85"/>
      </w:r>
      <w:r w:rsidR="00E0746F" w:rsidRPr="00D34B6B">
        <w:rPr>
          <w:rFonts w:ascii="Times New Roman" w:hAnsi="Times New Roman"/>
          <w:sz w:val="24"/>
          <w:szCs w:val="24"/>
          <w:lang w:val="en-GB"/>
        </w:rPr>
        <w:t xml:space="preserve"> (except e-money transactions)’, ‘POS transactions (except e-money transactions)’</w:t>
      </w:r>
      <w:r w:rsidR="006C5213">
        <w:rPr>
          <w:rStyle w:val="FootnoteReference"/>
          <w:rFonts w:ascii="Times New Roman" w:hAnsi="Times New Roman"/>
          <w:sz w:val="24"/>
          <w:szCs w:val="24"/>
          <w:lang w:val="en-GB"/>
        </w:rPr>
        <w:footnoteReference w:id="86"/>
      </w:r>
      <w:r w:rsidR="00E0746F" w:rsidRPr="00D34B6B">
        <w:rPr>
          <w:rFonts w:ascii="Times New Roman" w:hAnsi="Times New Roman"/>
          <w:sz w:val="24"/>
          <w:szCs w:val="24"/>
          <w:lang w:val="en-GB"/>
        </w:rPr>
        <w:t>, ‘E-money card loading</w:t>
      </w:r>
      <w:r w:rsidR="0019445D">
        <w:rPr>
          <w:rFonts w:ascii="Times New Roman" w:hAnsi="Times New Roman"/>
          <w:sz w:val="24"/>
          <w:szCs w:val="24"/>
          <w:lang w:val="en-GB"/>
        </w:rPr>
        <w:t xml:space="preserve"> and unloading</w:t>
      </w:r>
      <w:r w:rsidR="00E0746F" w:rsidRPr="00D34B6B">
        <w:rPr>
          <w:rFonts w:ascii="Times New Roman" w:hAnsi="Times New Roman"/>
          <w:sz w:val="24"/>
          <w:szCs w:val="24"/>
          <w:lang w:val="en-GB"/>
        </w:rPr>
        <w:t xml:space="preserve"> transactions’</w:t>
      </w:r>
      <w:r w:rsidR="00D606CF">
        <w:rPr>
          <w:rStyle w:val="FootnoteReference"/>
          <w:rFonts w:ascii="Times New Roman" w:hAnsi="Times New Roman"/>
          <w:sz w:val="24"/>
          <w:szCs w:val="24"/>
          <w:lang w:val="en-GB"/>
        </w:rPr>
        <w:footnoteReference w:id="87"/>
      </w:r>
      <w:r w:rsidR="00E0746F" w:rsidRPr="00D34B6B">
        <w:rPr>
          <w:rFonts w:ascii="Times New Roman" w:hAnsi="Times New Roman"/>
          <w:sz w:val="24"/>
          <w:szCs w:val="24"/>
          <w:lang w:val="en-GB"/>
        </w:rPr>
        <w:t xml:space="preserve"> and ‘E-money payment transactions with cards with an e-money </w:t>
      </w:r>
      <w:r w:rsidR="00014E06" w:rsidRPr="00D34B6B">
        <w:rPr>
          <w:rFonts w:ascii="Times New Roman" w:hAnsi="Times New Roman"/>
          <w:sz w:val="24"/>
          <w:szCs w:val="24"/>
          <w:lang w:val="en-GB"/>
        </w:rPr>
        <w:t>function’</w:t>
      </w:r>
      <w:r w:rsidR="004E576A">
        <w:rPr>
          <w:rStyle w:val="FootnoteReference"/>
          <w:rFonts w:ascii="Times New Roman" w:hAnsi="Times New Roman"/>
          <w:sz w:val="24"/>
          <w:szCs w:val="24"/>
          <w:lang w:val="en-GB"/>
        </w:rPr>
        <w:footnoteReference w:id="88"/>
      </w:r>
      <w:r w:rsidR="00014E06" w:rsidRPr="00D34B6B">
        <w:rPr>
          <w:rFonts w:ascii="Times New Roman" w:hAnsi="Times New Roman"/>
          <w:sz w:val="24"/>
          <w:szCs w:val="24"/>
          <w:lang w:val="en-GB"/>
        </w:rPr>
        <w:t xml:space="preserve">. </w:t>
      </w:r>
      <w:r w:rsidR="007D6320">
        <w:rPr>
          <w:rFonts w:ascii="Times New Roman" w:hAnsi="Times New Roman"/>
          <w:sz w:val="24"/>
          <w:szCs w:val="24"/>
          <w:lang w:val="en-GB"/>
        </w:rPr>
        <w:t>These sub</w:t>
      </w:r>
      <w:r w:rsidR="00626AA1" w:rsidRPr="00D34B6B">
        <w:rPr>
          <w:rFonts w:ascii="Times New Roman" w:hAnsi="Times New Roman"/>
          <w:sz w:val="24"/>
          <w:szCs w:val="24"/>
          <w:lang w:val="en-GB"/>
        </w:rPr>
        <w:t xml:space="preserve">categories </w:t>
      </w:r>
      <w:r w:rsidRPr="00D34B6B">
        <w:rPr>
          <w:rFonts w:ascii="Times New Roman" w:hAnsi="Times New Roman"/>
          <w:sz w:val="24"/>
          <w:szCs w:val="24"/>
          <w:lang w:val="en-GB"/>
        </w:rPr>
        <w:t>are not mutually exclusive.</w:t>
      </w:r>
    </w:p>
    <w:p w14:paraId="14C225A8" w14:textId="77777777" w:rsidR="006750EE" w:rsidRDefault="00E30177" w:rsidP="00E0746F">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Cash advances at POS terminals when the transaction includes the purchase of goods and services, are to be reported under ‘Cash Advances at POS </w:t>
      </w:r>
      <w:proofErr w:type="gramStart"/>
      <w:r>
        <w:rPr>
          <w:rFonts w:ascii="Times New Roman" w:hAnsi="Times New Roman"/>
          <w:sz w:val="24"/>
          <w:szCs w:val="24"/>
          <w:lang w:val="en-GB"/>
        </w:rPr>
        <w:t>terminals’</w:t>
      </w:r>
      <w:proofErr w:type="gramEnd"/>
      <w:r>
        <w:rPr>
          <w:rFonts w:ascii="Times New Roman" w:hAnsi="Times New Roman"/>
          <w:sz w:val="24"/>
          <w:szCs w:val="24"/>
          <w:lang w:val="en-GB"/>
        </w:rPr>
        <w:t xml:space="preserve"> and the remainder amount paid for the goods and services is to be included in the category ‘POS </w:t>
      </w:r>
      <w:proofErr w:type="gramStart"/>
      <w:r>
        <w:rPr>
          <w:rFonts w:ascii="Times New Roman" w:hAnsi="Times New Roman"/>
          <w:sz w:val="24"/>
          <w:szCs w:val="24"/>
          <w:lang w:val="en-GB"/>
        </w:rPr>
        <w:t>transactions’</w:t>
      </w:r>
      <w:proofErr w:type="gramEnd"/>
      <w:r>
        <w:rPr>
          <w:rFonts w:ascii="Times New Roman" w:hAnsi="Times New Roman"/>
          <w:sz w:val="24"/>
          <w:szCs w:val="24"/>
          <w:lang w:val="en-GB"/>
        </w:rPr>
        <w:t xml:space="preserve">. In the case of a transaction without the purchase of goods and services, the cash-back amount will be reported under ‘ATM cash </w:t>
      </w:r>
      <w:proofErr w:type="gramStart"/>
      <w:r>
        <w:rPr>
          <w:rFonts w:ascii="Times New Roman" w:hAnsi="Times New Roman"/>
          <w:sz w:val="24"/>
          <w:szCs w:val="24"/>
          <w:lang w:val="en-GB"/>
        </w:rPr>
        <w:t>withdrawals’</w:t>
      </w:r>
      <w:proofErr w:type="gramEnd"/>
      <w:r>
        <w:rPr>
          <w:rFonts w:ascii="Times New Roman" w:hAnsi="Times New Roman"/>
          <w:sz w:val="24"/>
          <w:szCs w:val="24"/>
          <w:lang w:val="en-GB"/>
        </w:rPr>
        <w:t xml:space="preserve">. </w:t>
      </w:r>
      <w:r w:rsidR="006750EE">
        <w:rPr>
          <w:rFonts w:ascii="Times New Roman" w:hAnsi="Times New Roman"/>
          <w:sz w:val="24"/>
          <w:szCs w:val="24"/>
          <w:lang w:val="en-GB"/>
        </w:rPr>
        <w:t>Likewise, c</w:t>
      </w:r>
      <w:r w:rsidR="006750EE" w:rsidRPr="00760F3B">
        <w:rPr>
          <w:rFonts w:ascii="Times New Roman" w:hAnsi="Times New Roman"/>
          <w:sz w:val="24"/>
          <w:szCs w:val="24"/>
          <w:lang w:val="en-GB"/>
        </w:rPr>
        <w:t xml:space="preserve">ash deposits at POS terminals which are not linked to a payment transaction for goods and services should be reported as </w:t>
      </w:r>
      <w:r w:rsidR="006750EE" w:rsidRPr="00626AA1">
        <w:rPr>
          <w:rFonts w:ascii="Times New Roman" w:hAnsi="Times New Roman"/>
          <w:sz w:val="24"/>
          <w:szCs w:val="24"/>
          <w:lang w:val="en-GB"/>
        </w:rPr>
        <w:t>‘ATM cash deposits (except e-money transactions)’</w:t>
      </w:r>
      <w:r w:rsidR="006750EE" w:rsidRPr="00760F3B">
        <w:rPr>
          <w:rFonts w:ascii="Times New Roman" w:hAnsi="Times New Roman"/>
          <w:sz w:val="24"/>
          <w:szCs w:val="24"/>
          <w:lang w:val="en-GB"/>
        </w:rPr>
        <w:t>.</w:t>
      </w:r>
    </w:p>
    <w:p w14:paraId="772B49F0" w14:textId="77777777" w:rsidR="008F6886" w:rsidRPr="008F6886" w:rsidRDefault="008F6886" w:rsidP="004E576A">
      <w:pPr>
        <w:jc w:val="both"/>
        <w:rPr>
          <w:rFonts w:ascii="Times New Roman" w:hAnsi="Times New Roman"/>
          <w:sz w:val="24"/>
          <w:szCs w:val="24"/>
          <w:lang w:val="en-GB"/>
        </w:rPr>
      </w:pPr>
    </w:p>
    <w:tbl>
      <w:tblPr>
        <w:tblStyle w:val="TableGrid"/>
        <w:tblW w:w="0" w:type="auto"/>
        <w:tblLook w:val="04A0" w:firstRow="1" w:lastRow="0" w:firstColumn="1" w:lastColumn="0" w:noHBand="0" w:noVBand="1"/>
      </w:tblPr>
      <w:tblGrid>
        <w:gridCol w:w="2547"/>
        <w:gridCol w:w="7087"/>
      </w:tblGrid>
      <w:tr w:rsidR="00591697" w:rsidRPr="00F53249" w14:paraId="7AC09E87" w14:textId="77777777" w:rsidTr="00985BD0">
        <w:tc>
          <w:tcPr>
            <w:tcW w:w="2547" w:type="dxa"/>
          </w:tcPr>
          <w:p w14:paraId="52C066F6"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b/>
                <w:sz w:val="24"/>
                <w:szCs w:val="24"/>
                <w:lang w:val="en-GB"/>
              </w:rPr>
              <w:lastRenderedPageBreak/>
              <w:t>(a) Transactions at terminals at which transactions are acquired by resident PSPs with cards issued by resident PSPs</w:t>
            </w:r>
          </w:p>
        </w:tc>
        <w:tc>
          <w:tcPr>
            <w:tcW w:w="7087" w:type="dxa"/>
            <w:tcBorders>
              <w:bottom w:val="nil"/>
            </w:tcBorders>
          </w:tcPr>
          <w:p w14:paraId="3EBF8889" w14:textId="77777777" w:rsidR="006B1E19" w:rsidRDefault="00591697" w:rsidP="002B29C9">
            <w:pPr>
              <w:spacing w:after="120" w:line="360" w:lineRule="auto"/>
              <w:jc w:val="both"/>
              <w:rPr>
                <w:rFonts w:ascii="Times New Roman" w:hAnsi="Times New Roman"/>
                <w:sz w:val="24"/>
                <w:szCs w:val="24"/>
                <w:lang w:val="en-GB"/>
              </w:rPr>
            </w:pPr>
            <w:r w:rsidRPr="00626AA1">
              <w:rPr>
                <w:rFonts w:ascii="Times New Roman" w:hAnsi="Times New Roman"/>
                <w:sz w:val="24"/>
                <w:szCs w:val="24"/>
                <w:lang w:val="en-GB"/>
              </w:rPr>
              <w:t>Include all the transactions (number and value) carried out through all the terminals provided by the Reporting Agent</w:t>
            </w:r>
            <w:r w:rsidR="002B29C9">
              <w:rPr>
                <w:rFonts w:ascii="Times New Roman" w:hAnsi="Times New Roman"/>
                <w:sz w:val="24"/>
                <w:szCs w:val="24"/>
                <w:lang w:val="en-GB"/>
              </w:rPr>
              <w:t xml:space="preserve"> (acquiring PSP)</w:t>
            </w:r>
            <w:r w:rsidRPr="00626AA1">
              <w:rPr>
                <w:rFonts w:ascii="Times New Roman" w:hAnsi="Times New Roman"/>
                <w:sz w:val="24"/>
                <w:szCs w:val="24"/>
                <w:lang w:val="en-GB"/>
              </w:rPr>
              <w:t xml:space="preserve"> irrespective of the issuer of the card</w:t>
            </w:r>
            <w:r w:rsidR="00A72719">
              <w:rPr>
                <w:rFonts w:ascii="Times New Roman" w:hAnsi="Times New Roman"/>
                <w:sz w:val="24"/>
                <w:szCs w:val="24"/>
                <w:lang w:val="en-GB"/>
              </w:rPr>
              <w:t>,</w:t>
            </w:r>
            <w:r w:rsidRPr="00626AA1">
              <w:rPr>
                <w:rFonts w:ascii="Times New Roman" w:hAnsi="Times New Roman"/>
                <w:sz w:val="24"/>
                <w:szCs w:val="24"/>
                <w:lang w:val="en-GB"/>
              </w:rPr>
              <w:t xml:space="preserve"> </w:t>
            </w:r>
            <w:proofErr w:type="gramStart"/>
            <w:r w:rsidRPr="00626AA1">
              <w:rPr>
                <w:rFonts w:ascii="Times New Roman" w:hAnsi="Times New Roman"/>
                <w:sz w:val="24"/>
                <w:szCs w:val="24"/>
                <w:lang w:val="en-GB"/>
              </w:rPr>
              <w:t>as long as</w:t>
            </w:r>
            <w:proofErr w:type="gramEnd"/>
            <w:r w:rsidRPr="00626AA1">
              <w:rPr>
                <w:rFonts w:ascii="Times New Roman" w:hAnsi="Times New Roman"/>
                <w:sz w:val="24"/>
                <w:szCs w:val="24"/>
                <w:lang w:val="en-GB"/>
              </w:rPr>
              <w:t xml:space="preserve"> the issuer is a domestic institution.</w:t>
            </w:r>
            <w:r w:rsidR="00E0746F">
              <w:rPr>
                <w:rFonts w:ascii="Times New Roman" w:hAnsi="Times New Roman"/>
                <w:sz w:val="24"/>
                <w:szCs w:val="24"/>
                <w:lang w:val="en-GB"/>
              </w:rPr>
              <w:t xml:space="preserve"> In other words, </w:t>
            </w:r>
            <w:r w:rsidR="006B1E19" w:rsidRPr="00626AA1">
              <w:rPr>
                <w:rFonts w:ascii="Times New Roman" w:hAnsi="Times New Roman"/>
                <w:sz w:val="24"/>
                <w:szCs w:val="24"/>
                <w:lang w:val="en-GB"/>
              </w:rPr>
              <w:t>the issuer of the card</w:t>
            </w:r>
            <w:r w:rsidR="006B1E19">
              <w:rPr>
                <w:rFonts w:ascii="Times New Roman" w:hAnsi="Times New Roman"/>
                <w:sz w:val="24"/>
                <w:szCs w:val="24"/>
                <w:lang w:val="en-GB"/>
              </w:rPr>
              <w:t xml:space="preserve"> can either</w:t>
            </w:r>
            <w:r w:rsidR="00F82918">
              <w:rPr>
                <w:rFonts w:ascii="Times New Roman" w:hAnsi="Times New Roman"/>
                <w:sz w:val="24"/>
                <w:szCs w:val="24"/>
                <w:lang w:val="en-GB"/>
              </w:rPr>
              <w:t xml:space="preserve"> be</w:t>
            </w:r>
            <w:r w:rsidR="006B1E19">
              <w:rPr>
                <w:rFonts w:ascii="Times New Roman" w:hAnsi="Times New Roman"/>
                <w:sz w:val="24"/>
                <w:szCs w:val="24"/>
                <w:lang w:val="en-GB"/>
              </w:rPr>
              <w:t xml:space="preserve"> </w:t>
            </w:r>
            <w:r w:rsidR="006B1E19" w:rsidRPr="00760F3B">
              <w:rPr>
                <w:rFonts w:ascii="Times New Roman" w:hAnsi="Times New Roman"/>
                <w:sz w:val="24"/>
                <w:szCs w:val="24"/>
                <w:lang w:val="en-GB"/>
              </w:rPr>
              <w:t>the</w:t>
            </w:r>
            <w:r w:rsidR="00F82918">
              <w:rPr>
                <w:rFonts w:ascii="Times New Roman" w:hAnsi="Times New Roman"/>
                <w:sz w:val="24"/>
                <w:szCs w:val="24"/>
                <w:lang w:val="en-GB"/>
              </w:rPr>
              <w:t xml:space="preserve"> same</w:t>
            </w:r>
            <w:r w:rsidR="006B1E19" w:rsidRPr="00760F3B">
              <w:rPr>
                <w:rFonts w:ascii="Times New Roman" w:hAnsi="Times New Roman"/>
                <w:sz w:val="24"/>
                <w:szCs w:val="24"/>
                <w:lang w:val="en-GB"/>
              </w:rPr>
              <w:t xml:space="preserve"> Reporting Agent or other domestic </w:t>
            </w:r>
            <w:r w:rsidR="006B1E19">
              <w:rPr>
                <w:rFonts w:ascii="Times New Roman" w:hAnsi="Times New Roman"/>
                <w:sz w:val="24"/>
                <w:szCs w:val="24"/>
                <w:lang w:val="en-GB"/>
              </w:rPr>
              <w:t>PSPs</w:t>
            </w:r>
            <w:r w:rsidR="006B1E19" w:rsidRPr="00760F3B">
              <w:rPr>
                <w:rFonts w:ascii="Times New Roman" w:hAnsi="Times New Roman"/>
                <w:sz w:val="24"/>
                <w:szCs w:val="24"/>
                <w:lang w:val="en-GB"/>
              </w:rPr>
              <w:t>.</w:t>
            </w:r>
            <w:r w:rsidR="00A72719" w:rsidRPr="00760F3B">
              <w:rPr>
                <w:rFonts w:ascii="Times New Roman" w:hAnsi="Times New Roman"/>
                <w:sz w:val="24"/>
                <w:szCs w:val="24"/>
                <w:lang w:val="en-GB"/>
              </w:rPr>
              <w:t xml:space="preserve"> </w:t>
            </w:r>
          </w:p>
          <w:p w14:paraId="3A3ABF10" w14:textId="29A4FCCA" w:rsidR="00FF4F21" w:rsidRPr="00FF4F21" w:rsidRDefault="00FF4F21" w:rsidP="00FF4F21">
            <w:pPr>
              <w:spacing w:after="120" w:line="360" w:lineRule="auto"/>
              <w:jc w:val="both"/>
              <w:rPr>
                <w:rFonts w:ascii="Times New Roman" w:hAnsi="Times New Roman"/>
                <w:i/>
                <w:sz w:val="24"/>
                <w:szCs w:val="24"/>
                <w:lang w:val="en-GB"/>
              </w:rPr>
            </w:pPr>
            <w:r w:rsidRPr="00FF4F21">
              <w:rPr>
                <w:rFonts w:ascii="Times New Roman" w:hAnsi="Times New Roman"/>
                <w:i/>
                <w:sz w:val="24"/>
                <w:szCs w:val="24"/>
                <w:lang w:val="en-GB"/>
              </w:rPr>
              <w:t xml:space="preserve">This item includes transactions initiated electronically via non-remote payment channel </w:t>
            </w:r>
            <w:proofErr w:type="gramStart"/>
            <w:r w:rsidRPr="00FF4F21">
              <w:rPr>
                <w:rFonts w:ascii="Times New Roman" w:hAnsi="Times New Roman"/>
                <w:i/>
                <w:sz w:val="24"/>
                <w:szCs w:val="24"/>
                <w:lang w:val="en-GB"/>
              </w:rPr>
              <w:t>and also</w:t>
            </w:r>
            <w:proofErr w:type="gramEnd"/>
            <w:r>
              <w:rPr>
                <w:rFonts w:ascii="Times New Roman" w:hAnsi="Times New Roman"/>
                <w:i/>
                <w:sz w:val="24"/>
                <w:szCs w:val="24"/>
                <w:lang w:val="en-GB"/>
              </w:rPr>
              <w:t>,</w:t>
            </w:r>
            <w:r w:rsidRPr="00FF4F21">
              <w:rPr>
                <w:rFonts w:ascii="Times New Roman" w:hAnsi="Times New Roman"/>
                <w:i/>
                <w:sz w:val="24"/>
                <w:szCs w:val="24"/>
                <w:lang w:val="en-GB"/>
              </w:rPr>
              <w:t xml:space="preserve"> transactions initiated non-electronically via non-remote payment channel.</w:t>
            </w:r>
          </w:p>
        </w:tc>
      </w:tr>
      <w:tr w:rsidR="00591697" w:rsidRPr="00F53249" w14:paraId="2B226EA3" w14:textId="77777777" w:rsidTr="00985BD0">
        <w:tc>
          <w:tcPr>
            <w:tcW w:w="2547" w:type="dxa"/>
          </w:tcPr>
          <w:p w14:paraId="4A8E9974"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b/>
                <w:sz w:val="24"/>
                <w:szCs w:val="24"/>
                <w:lang w:val="en-GB"/>
              </w:rPr>
              <w:t>(b) Transactions at terminals at which transactions are acquired by resident PSPs with cards issued by non-resident PSPs</w:t>
            </w:r>
          </w:p>
        </w:tc>
        <w:tc>
          <w:tcPr>
            <w:tcW w:w="7087" w:type="dxa"/>
          </w:tcPr>
          <w:p w14:paraId="5BA1CD15" w14:textId="77777777" w:rsidR="00591697" w:rsidRPr="00E0746F" w:rsidRDefault="00591697" w:rsidP="00760F3B">
            <w:pPr>
              <w:spacing w:after="120" w:line="360" w:lineRule="auto"/>
              <w:jc w:val="both"/>
              <w:rPr>
                <w:rFonts w:ascii="Times New Roman" w:hAnsi="Times New Roman"/>
                <w:sz w:val="24"/>
                <w:szCs w:val="24"/>
                <w:lang w:val="en-GB"/>
              </w:rPr>
            </w:pPr>
            <w:r w:rsidRPr="00E0746F">
              <w:rPr>
                <w:rFonts w:ascii="Times New Roman" w:hAnsi="Times New Roman"/>
                <w:sz w:val="24"/>
                <w:szCs w:val="24"/>
                <w:lang w:val="en-GB"/>
              </w:rPr>
              <w:t>Include all the transactions (number and value) through all the terminals provided by the Reporting Agent</w:t>
            </w:r>
            <w:r w:rsidR="002B29C9">
              <w:rPr>
                <w:rFonts w:ascii="Times New Roman" w:hAnsi="Times New Roman"/>
                <w:sz w:val="24"/>
                <w:szCs w:val="24"/>
                <w:lang w:val="en-GB"/>
              </w:rPr>
              <w:t xml:space="preserve"> (acquiring PSP</w:t>
            </w:r>
            <w:proofErr w:type="gramStart"/>
            <w:r w:rsidR="002B29C9">
              <w:rPr>
                <w:rFonts w:ascii="Times New Roman" w:hAnsi="Times New Roman"/>
                <w:sz w:val="24"/>
                <w:szCs w:val="24"/>
                <w:lang w:val="en-GB"/>
              </w:rPr>
              <w:t>)</w:t>
            </w:r>
            <w:r w:rsidRPr="00E0746F">
              <w:rPr>
                <w:rFonts w:ascii="Times New Roman" w:hAnsi="Times New Roman"/>
                <w:sz w:val="24"/>
                <w:szCs w:val="24"/>
                <w:lang w:val="en-GB"/>
              </w:rPr>
              <w:t>, and</w:t>
            </w:r>
            <w:proofErr w:type="gramEnd"/>
            <w:r w:rsidRPr="00E0746F">
              <w:rPr>
                <w:rFonts w:ascii="Times New Roman" w:hAnsi="Times New Roman"/>
                <w:sz w:val="24"/>
                <w:szCs w:val="24"/>
                <w:lang w:val="en-GB"/>
              </w:rPr>
              <w:t xml:space="preserve"> are carried out with cards issued by non-resident PSPs (foreign cards).</w:t>
            </w:r>
          </w:p>
          <w:p w14:paraId="2FB8CD17" w14:textId="77777777" w:rsidR="00C37DEA" w:rsidRDefault="00224864" w:rsidP="009D245F">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In other words, </w:t>
            </w:r>
            <w:r w:rsidR="00B978E9">
              <w:rPr>
                <w:rFonts w:ascii="Times New Roman" w:hAnsi="Times New Roman"/>
                <w:sz w:val="24"/>
                <w:szCs w:val="24"/>
                <w:lang w:val="en-GB"/>
              </w:rPr>
              <w:t>the issuer of the card can</w:t>
            </w:r>
            <w:r w:rsidR="009D245F">
              <w:rPr>
                <w:rFonts w:ascii="Times New Roman" w:hAnsi="Times New Roman"/>
                <w:sz w:val="24"/>
                <w:szCs w:val="24"/>
                <w:lang w:val="en-GB"/>
              </w:rPr>
              <w:t>not</w:t>
            </w:r>
            <w:r w:rsidR="00F82918">
              <w:rPr>
                <w:rFonts w:ascii="Times New Roman" w:hAnsi="Times New Roman"/>
                <w:sz w:val="24"/>
                <w:szCs w:val="24"/>
                <w:lang w:val="en-GB"/>
              </w:rPr>
              <w:t xml:space="preserve"> </w:t>
            </w:r>
            <w:r w:rsidR="00F82918" w:rsidRPr="00E0746F">
              <w:rPr>
                <w:rFonts w:ascii="Times New Roman" w:hAnsi="Times New Roman"/>
                <w:sz w:val="24"/>
                <w:szCs w:val="24"/>
                <w:lang w:val="en-GB"/>
              </w:rPr>
              <w:t>be</w:t>
            </w:r>
            <w:r w:rsidR="00E0746F" w:rsidRPr="00E0746F">
              <w:rPr>
                <w:rFonts w:ascii="Times New Roman" w:hAnsi="Times New Roman"/>
                <w:sz w:val="24"/>
                <w:szCs w:val="24"/>
                <w:lang w:val="en-GB"/>
              </w:rPr>
              <w:t xml:space="preserve"> the </w:t>
            </w:r>
            <w:r w:rsidR="00F82918">
              <w:rPr>
                <w:rFonts w:ascii="Times New Roman" w:hAnsi="Times New Roman"/>
                <w:sz w:val="24"/>
                <w:szCs w:val="24"/>
                <w:lang w:val="en-GB"/>
              </w:rPr>
              <w:t xml:space="preserve">same </w:t>
            </w:r>
            <w:r w:rsidR="00E0746F" w:rsidRPr="00E0746F">
              <w:rPr>
                <w:rFonts w:ascii="Times New Roman" w:hAnsi="Times New Roman"/>
                <w:sz w:val="24"/>
                <w:szCs w:val="24"/>
                <w:lang w:val="en-GB"/>
              </w:rPr>
              <w:t xml:space="preserve">Reporting Agent </w:t>
            </w:r>
            <w:r w:rsidR="009D245F">
              <w:rPr>
                <w:rFonts w:ascii="Times New Roman" w:hAnsi="Times New Roman"/>
                <w:sz w:val="24"/>
                <w:szCs w:val="24"/>
                <w:lang w:val="en-GB"/>
              </w:rPr>
              <w:t>nor any</w:t>
            </w:r>
            <w:r w:rsidR="00E0746F" w:rsidRPr="00E0746F">
              <w:rPr>
                <w:rFonts w:ascii="Times New Roman" w:hAnsi="Times New Roman"/>
                <w:sz w:val="24"/>
                <w:szCs w:val="24"/>
                <w:lang w:val="en-GB"/>
              </w:rPr>
              <w:t xml:space="preserve"> other domestic PSPs.</w:t>
            </w:r>
          </w:p>
          <w:p w14:paraId="69458594" w14:textId="123AC045" w:rsidR="00FF4F21" w:rsidRPr="00E0746F" w:rsidRDefault="00FF4F21" w:rsidP="009D245F">
            <w:pPr>
              <w:spacing w:after="120" w:line="360" w:lineRule="auto"/>
              <w:jc w:val="both"/>
              <w:rPr>
                <w:rFonts w:ascii="Times New Roman" w:hAnsi="Times New Roman"/>
                <w:sz w:val="24"/>
                <w:szCs w:val="24"/>
                <w:lang w:val="en-GB"/>
              </w:rPr>
            </w:pPr>
            <w:r w:rsidRPr="00FF4F21">
              <w:rPr>
                <w:rFonts w:ascii="Times New Roman" w:hAnsi="Times New Roman"/>
                <w:i/>
                <w:sz w:val="24"/>
                <w:szCs w:val="24"/>
                <w:lang w:val="en-GB"/>
              </w:rPr>
              <w:t xml:space="preserve">This item includes transactions initiated electronically via non-remote payment channel </w:t>
            </w:r>
            <w:proofErr w:type="gramStart"/>
            <w:r w:rsidRPr="00FF4F21">
              <w:rPr>
                <w:rFonts w:ascii="Times New Roman" w:hAnsi="Times New Roman"/>
                <w:i/>
                <w:sz w:val="24"/>
                <w:szCs w:val="24"/>
                <w:lang w:val="en-GB"/>
              </w:rPr>
              <w:t>and also</w:t>
            </w:r>
            <w:proofErr w:type="gramEnd"/>
            <w:r>
              <w:rPr>
                <w:rFonts w:ascii="Times New Roman" w:hAnsi="Times New Roman"/>
                <w:i/>
                <w:sz w:val="24"/>
                <w:szCs w:val="24"/>
                <w:lang w:val="en-GB"/>
              </w:rPr>
              <w:t>,</w:t>
            </w:r>
            <w:r w:rsidRPr="00FF4F21">
              <w:rPr>
                <w:rFonts w:ascii="Times New Roman" w:hAnsi="Times New Roman"/>
                <w:i/>
                <w:sz w:val="24"/>
                <w:szCs w:val="24"/>
                <w:lang w:val="en-GB"/>
              </w:rPr>
              <w:t xml:space="preserve"> transactions initiated non-electronically via non-remote payment channel.</w:t>
            </w:r>
          </w:p>
        </w:tc>
      </w:tr>
      <w:tr w:rsidR="00591697" w:rsidRPr="00F53249" w14:paraId="18772A3E" w14:textId="77777777" w:rsidTr="00985BD0">
        <w:tc>
          <w:tcPr>
            <w:tcW w:w="2547" w:type="dxa"/>
          </w:tcPr>
          <w:p w14:paraId="62FB1DF5"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b/>
                <w:sz w:val="24"/>
                <w:szCs w:val="24"/>
                <w:lang w:val="en-GB"/>
              </w:rPr>
              <w:t>(c) Transactions at terminals at which transactions are acquired by non-resident PSPs with cards issued by resident PSPs</w:t>
            </w:r>
          </w:p>
        </w:tc>
        <w:tc>
          <w:tcPr>
            <w:tcW w:w="7087" w:type="dxa"/>
          </w:tcPr>
          <w:p w14:paraId="65E53C37" w14:textId="50EE654A" w:rsidR="00AF38A8" w:rsidRDefault="00591697" w:rsidP="00AF38A8">
            <w:pPr>
              <w:spacing w:after="120" w:line="360" w:lineRule="auto"/>
              <w:jc w:val="both"/>
              <w:rPr>
                <w:rFonts w:ascii="Times New Roman" w:hAnsi="Times New Roman"/>
                <w:sz w:val="24"/>
                <w:szCs w:val="24"/>
                <w:lang w:val="en-GB"/>
              </w:rPr>
            </w:pPr>
            <w:r w:rsidRPr="006750EE">
              <w:rPr>
                <w:rFonts w:ascii="Times New Roman" w:hAnsi="Times New Roman"/>
                <w:sz w:val="24"/>
                <w:szCs w:val="24"/>
                <w:lang w:val="en-GB"/>
              </w:rPr>
              <w:t xml:space="preserve">Include all transactions (number and value) </w:t>
            </w:r>
            <w:r w:rsidR="008207B7" w:rsidRPr="008207B7">
              <w:rPr>
                <w:rFonts w:ascii="Times New Roman" w:hAnsi="Times New Roman"/>
                <w:sz w:val="24"/>
                <w:szCs w:val="24"/>
                <w:lang w:val="en-GB"/>
              </w:rPr>
              <w:t>carried out at all terminals at which transactions are acquired by non-resident PSPs</w:t>
            </w:r>
            <w:r w:rsidR="00AF38A8">
              <w:rPr>
                <w:rFonts w:ascii="Times New Roman" w:hAnsi="Times New Roman"/>
                <w:sz w:val="24"/>
                <w:szCs w:val="24"/>
                <w:lang w:val="en-GB"/>
              </w:rPr>
              <w:t xml:space="preserve"> </w:t>
            </w:r>
            <w:r w:rsidR="00AF38A8" w:rsidRPr="00AF38A8">
              <w:rPr>
                <w:rFonts w:ascii="Times New Roman" w:hAnsi="Times New Roman"/>
                <w:sz w:val="24"/>
                <w:szCs w:val="24"/>
                <w:lang w:val="en-GB"/>
              </w:rPr>
              <w:t xml:space="preserve">(i.e. whether terminals </w:t>
            </w:r>
            <w:proofErr w:type="gramStart"/>
            <w:r w:rsidR="00AF38A8" w:rsidRPr="00AF38A8">
              <w:rPr>
                <w:rFonts w:ascii="Times New Roman" w:hAnsi="Times New Roman"/>
                <w:sz w:val="24"/>
                <w:szCs w:val="24"/>
                <w:lang w:val="en-GB"/>
              </w:rPr>
              <w:t>are located in</w:t>
            </w:r>
            <w:proofErr w:type="gramEnd"/>
            <w:r w:rsidR="00AF38A8" w:rsidRPr="00AF38A8">
              <w:rPr>
                <w:rFonts w:ascii="Times New Roman" w:hAnsi="Times New Roman"/>
                <w:sz w:val="24"/>
                <w:szCs w:val="24"/>
                <w:lang w:val="en-GB"/>
              </w:rPr>
              <w:t>,</w:t>
            </w:r>
            <w:r w:rsidR="00C73E70">
              <w:rPr>
                <w:rFonts w:ascii="Times New Roman" w:hAnsi="Times New Roman"/>
                <w:sz w:val="24"/>
                <w:szCs w:val="24"/>
                <w:lang w:val="en-GB"/>
              </w:rPr>
              <w:t xml:space="preserve"> </w:t>
            </w:r>
            <w:r w:rsidR="00AF38A8" w:rsidRPr="00AF38A8">
              <w:rPr>
                <w:rFonts w:ascii="Times New Roman" w:hAnsi="Times New Roman"/>
                <w:sz w:val="24"/>
                <w:szCs w:val="24"/>
                <w:lang w:val="en-GB"/>
              </w:rPr>
              <w:t>or outside, the country of location of the PSP)</w:t>
            </w:r>
            <w:r w:rsidRPr="006750EE">
              <w:rPr>
                <w:rFonts w:ascii="Times New Roman" w:hAnsi="Times New Roman"/>
                <w:sz w:val="24"/>
                <w:szCs w:val="24"/>
                <w:lang w:val="en-GB"/>
              </w:rPr>
              <w:t xml:space="preserve"> with cards issued by the Reporting Agent</w:t>
            </w:r>
            <w:r w:rsidR="002B29C9">
              <w:rPr>
                <w:rFonts w:ascii="Times New Roman" w:hAnsi="Times New Roman"/>
                <w:sz w:val="24"/>
                <w:szCs w:val="24"/>
                <w:lang w:val="en-GB"/>
              </w:rPr>
              <w:t xml:space="preserve"> (issuing PSP)</w:t>
            </w:r>
            <w:r w:rsidRPr="006750EE">
              <w:rPr>
                <w:rFonts w:ascii="Times New Roman" w:hAnsi="Times New Roman"/>
                <w:sz w:val="24"/>
                <w:szCs w:val="24"/>
                <w:lang w:val="en-GB"/>
              </w:rPr>
              <w:t>.</w:t>
            </w:r>
            <w:r w:rsidR="00AF38A8">
              <w:rPr>
                <w:rFonts w:ascii="Times New Roman" w:hAnsi="Times New Roman"/>
                <w:sz w:val="24"/>
                <w:szCs w:val="24"/>
                <w:lang w:val="en-GB"/>
              </w:rPr>
              <w:t xml:space="preserve"> </w:t>
            </w:r>
          </w:p>
          <w:p w14:paraId="56B9296D" w14:textId="4E81D56B" w:rsidR="00E101D2" w:rsidRPr="006750EE" w:rsidRDefault="00FF4F21" w:rsidP="00AF38A8">
            <w:pPr>
              <w:spacing w:after="120" w:line="360" w:lineRule="auto"/>
              <w:jc w:val="both"/>
              <w:rPr>
                <w:rFonts w:ascii="Times New Roman" w:hAnsi="Times New Roman"/>
                <w:sz w:val="24"/>
                <w:szCs w:val="24"/>
                <w:lang w:val="en-GB"/>
              </w:rPr>
            </w:pPr>
            <w:r w:rsidRPr="00FF4F21">
              <w:rPr>
                <w:rFonts w:ascii="Times New Roman" w:hAnsi="Times New Roman"/>
                <w:i/>
                <w:sz w:val="24"/>
                <w:szCs w:val="24"/>
                <w:lang w:val="en-GB"/>
              </w:rPr>
              <w:t xml:space="preserve">This item includes transactions initiated electronically via non-remote payment channel </w:t>
            </w:r>
            <w:proofErr w:type="gramStart"/>
            <w:r w:rsidRPr="00FF4F21">
              <w:rPr>
                <w:rFonts w:ascii="Times New Roman" w:hAnsi="Times New Roman"/>
                <w:i/>
                <w:sz w:val="24"/>
                <w:szCs w:val="24"/>
                <w:lang w:val="en-GB"/>
              </w:rPr>
              <w:t>and also</w:t>
            </w:r>
            <w:proofErr w:type="gramEnd"/>
            <w:r>
              <w:rPr>
                <w:rFonts w:ascii="Times New Roman" w:hAnsi="Times New Roman"/>
                <w:i/>
                <w:sz w:val="24"/>
                <w:szCs w:val="24"/>
                <w:lang w:val="en-GB"/>
              </w:rPr>
              <w:t>,</w:t>
            </w:r>
            <w:r w:rsidRPr="00FF4F21">
              <w:rPr>
                <w:rFonts w:ascii="Times New Roman" w:hAnsi="Times New Roman"/>
                <w:i/>
                <w:sz w:val="24"/>
                <w:szCs w:val="24"/>
                <w:lang w:val="en-GB"/>
              </w:rPr>
              <w:t xml:space="preserve"> transactions initiated non-electronically via non-remote payment channel.</w:t>
            </w:r>
          </w:p>
        </w:tc>
      </w:tr>
      <w:tr w:rsidR="00591697" w:rsidRPr="00F53249" w14:paraId="5199DE83" w14:textId="77777777" w:rsidTr="00985BD0">
        <w:tc>
          <w:tcPr>
            <w:tcW w:w="2547" w:type="dxa"/>
          </w:tcPr>
          <w:p w14:paraId="2E9C58BA"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t>Over the counter (OTC) cash withdrawals</w:t>
            </w:r>
            <w:r w:rsidR="00044FCD">
              <w:rPr>
                <w:rFonts w:ascii="Times New Roman" w:hAnsi="Times New Roman"/>
                <w:sz w:val="24"/>
                <w:szCs w:val="24"/>
                <w:lang w:val="en-GB"/>
              </w:rPr>
              <w:t>/ deposits</w:t>
            </w:r>
          </w:p>
        </w:tc>
        <w:tc>
          <w:tcPr>
            <w:tcW w:w="7087" w:type="dxa"/>
          </w:tcPr>
          <w:p w14:paraId="3F04A6FF" w14:textId="77777777" w:rsidR="00591697" w:rsidRPr="00760F3B" w:rsidRDefault="00591697" w:rsidP="00760F3B">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Report all cash withdrawals</w:t>
            </w:r>
            <w:r w:rsidR="00044FCD">
              <w:rPr>
                <w:rFonts w:ascii="Times New Roman" w:hAnsi="Times New Roman"/>
                <w:sz w:val="24"/>
                <w:szCs w:val="24"/>
                <w:lang w:val="en-GB"/>
              </w:rPr>
              <w:t>/ deposits</w:t>
            </w:r>
            <w:r w:rsidRPr="00760F3B">
              <w:rPr>
                <w:rFonts w:ascii="Times New Roman" w:hAnsi="Times New Roman"/>
                <w:sz w:val="24"/>
                <w:szCs w:val="24"/>
                <w:lang w:val="en-GB"/>
              </w:rPr>
              <w:t xml:space="preserve"> (number and value) Over </w:t>
            </w:r>
            <w:proofErr w:type="gramStart"/>
            <w:r w:rsidRPr="00760F3B">
              <w:rPr>
                <w:rFonts w:ascii="Times New Roman" w:hAnsi="Times New Roman"/>
                <w:sz w:val="24"/>
                <w:szCs w:val="24"/>
                <w:lang w:val="en-GB"/>
              </w:rPr>
              <w:t>The</w:t>
            </w:r>
            <w:proofErr w:type="gramEnd"/>
            <w:r w:rsidRPr="00760F3B">
              <w:rPr>
                <w:rFonts w:ascii="Times New Roman" w:hAnsi="Times New Roman"/>
                <w:sz w:val="24"/>
                <w:szCs w:val="24"/>
                <w:lang w:val="en-GB"/>
              </w:rPr>
              <w:t xml:space="preserve"> Counter</w:t>
            </w:r>
            <w:bookmarkStart w:id="49" w:name="_Ref75517517"/>
            <w:r w:rsidR="00044FCD">
              <w:rPr>
                <w:rStyle w:val="FootnoteReference"/>
                <w:rFonts w:ascii="Times New Roman" w:hAnsi="Times New Roman"/>
                <w:sz w:val="24"/>
                <w:szCs w:val="24"/>
                <w:lang w:val="en-GB"/>
              </w:rPr>
              <w:footnoteReference w:id="89"/>
            </w:r>
            <w:bookmarkEnd w:id="49"/>
            <w:r w:rsidRPr="00760F3B">
              <w:rPr>
                <w:rFonts w:ascii="Times New Roman" w:hAnsi="Times New Roman"/>
                <w:sz w:val="24"/>
                <w:szCs w:val="24"/>
                <w:lang w:val="en-GB"/>
              </w:rPr>
              <w:t xml:space="preserve"> of the reporting PSP, where a form or a card as identi</w:t>
            </w:r>
            <w:r w:rsidR="00F77D82">
              <w:rPr>
                <w:rFonts w:ascii="Times New Roman" w:hAnsi="Times New Roman"/>
                <w:sz w:val="24"/>
                <w:szCs w:val="24"/>
                <w:lang w:val="en-GB"/>
              </w:rPr>
              <w:t xml:space="preserve">fication mean, is used and is </w:t>
            </w:r>
            <w:r w:rsidRPr="00760F3B">
              <w:rPr>
                <w:rFonts w:ascii="Times New Roman" w:hAnsi="Times New Roman"/>
                <w:sz w:val="24"/>
                <w:szCs w:val="24"/>
                <w:lang w:val="en-GB"/>
              </w:rPr>
              <w:t>change</w:t>
            </w:r>
            <w:r w:rsidR="00F77D82">
              <w:rPr>
                <w:rFonts w:ascii="Times New Roman" w:hAnsi="Times New Roman"/>
                <w:sz w:val="24"/>
                <w:szCs w:val="24"/>
                <w:lang w:val="en-GB"/>
              </w:rPr>
              <w:t>d</w:t>
            </w:r>
            <w:r w:rsidRPr="00760F3B">
              <w:rPr>
                <w:rFonts w:ascii="Times New Roman" w:hAnsi="Times New Roman"/>
                <w:sz w:val="24"/>
                <w:szCs w:val="24"/>
                <w:lang w:val="en-GB"/>
              </w:rPr>
              <w:t xml:space="preserve"> from account money to cash.</w:t>
            </w:r>
          </w:p>
          <w:p w14:paraId="30874CCB" w14:textId="3B3E74F6" w:rsidR="008F6886" w:rsidRPr="00760F3B" w:rsidRDefault="008F6886" w:rsidP="008F6886">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The OTC cash withdrawals</w:t>
            </w:r>
            <w:r w:rsidR="00044FCD">
              <w:rPr>
                <w:rFonts w:ascii="Times New Roman" w:hAnsi="Times New Roman"/>
                <w:sz w:val="24"/>
                <w:szCs w:val="24"/>
                <w:lang w:val="en-GB"/>
              </w:rPr>
              <w:t>/ deposits</w:t>
            </w:r>
            <w:r w:rsidRPr="00760F3B">
              <w:rPr>
                <w:rFonts w:ascii="Times New Roman" w:hAnsi="Times New Roman"/>
                <w:sz w:val="24"/>
                <w:szCs w:val="24"/>
                <w:lang w:val="en-GB"/>
              </w:rPr>
              <w:t xml:space="preserve"> </w:t>
            </w:r>
            <w:r w:rsidR="00CC6448">
              <w:rPr>
                <w:rFonts w:ascii="Times New Roman" w:hAnsi="Times New Roman"/>
                <w:sz w:val="24"/>
                <w:szCs w:val="24"/>
                <w:lang w:val="en-GB"/>
              </w:rPr>
              <w:t>are reported by the ASPSP and refer to domestic transactions.</w:t>
            </w:r>
          </w:p>
        </w:tc>
      </w:tr>
      <w:tr w:rsidR="00591697" w:rsidRPr="00F53249" w14:paraId="3C0F3DB5" w14:textId="77777777" w:rsidTr="004E576A">
        <w:trPr>
          <w:trHeight w:val="2002"/>
        </w:trPr>
        <w:tc>
          <w:tcPr>
            <w:tcW w:w="2547" w:type="dxa"/>
          </w:tcPr>
          <w:p w14:paraId="16FA2E78" w14:textId="77777777" w:rsidR="00591697" w:rsidRPr="00760F3B" w:rsidRDefault="00591697" w:rsidP="003D1E63">
            <w:pPr>
              <w:spacing w:after="120" w:line="360" w:lineRule="auto"/>
              <w:rPr>
                <w:rFonts w:ascii="Times New Roman" w:hAnsi="Times New Roman"/>
                <w:sz w:val="24"/>
                <w:szCs w:val="24"/>
                <w:lang w:val="en-GB"/>
              </w:rPr>
            </w:pPr>
            <w:r w:rsidRPr="00760F3B">
              <w:rPr>
                <w:rFonts w:ascii="Times New Roman" w:hAnsi="Times New Roman"/>
                <w:sz w:val="24"/>
                <w:szCs w:val="24"/>
                <w:lang w:val="en-GB"/>
              </w:rPr>
              <w:lastRenderedPageBreak/>
              <w:t>Cash advances at POS terminals</w:t>
            </w:r>
          </w:p>
          <w:p w14:paraId="16D57422" w14:textId="77777777" w:rsidR="00591697" w:rsidRPr="00760F3B" w:rsidRDefault="00591697" w:rsidP="003D1E63">
            <w:pPr>
              <w:spacing w:after="120" w:line="360" w:lineRule="auto"/>
              <w:rPr>
                <w:rFonts w:ascii="Times New Roman" w:hAnsi="Times New Roman"/>
                <w:sz w:val="24"/>
                <w:szCs w:val="24"/>
                <w:lang w:val="en-GB"/>
              </w:rPr>
            </w:pPr>
          </w:p>
        </w:tc>
        <w:tc>
          <w:tcPr>
            <w:tcW w:w="7087" w:type="dxa"/>
          </w:tcPr>
          <w:p w14:paraId="15D4FB38" w14:textId="77777777" w:rsidR="00D34B6B" w:rsidRDefault="00591697" w:rsidP="00393F77">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Include all transactions (number and value) where the cardholder receives cash at a POS terminal in combination with a payment transaction for goods or services.  If it is not possible to distinguish the data on cash advances at POS terminals, these are reported as POS transactions. </w:t>
            </w:r>
          </w:p>
          <w:p w14:paraId="513A3D3C" w14:textId="7AE410A4" w:rsidR="00E128D4" w:rsidRPr="00E128D4" w:rsidRDefault="00E128D4" w:rsidP="00E128D4">
            <w:pPr>
              <w:spacing w:after="120" w:line="360" w:lineRule="auto"/>
              <w:jc w:val="both"/>
              <w:rPr>
                <w:rFonts w:ascii="Times New Roman" w:hAnsi="Times New Roman"/>
                <w:sz w:val="24"/>
                <w:szCs w:val="24"/>
                <w:lang w:val="en-GB"/>
              </w:rPr>
            </w:pPr>
            <w:r w:rsidRPr="00E128D4">
              <w:rPr>
                <w:rFonts w:ascii="Times New Roman" w:hAnsi="Times New Roman"/>
                <w:sz w:val="24"/>
                <w:szCs w:val="24"/>
                <w:lang w:val="en-GB"/>
              </w:rPr>
              <w:t xml:space="preserve">Cash advances at POS are reported from the acquiring side only. Where the transactions at the POS are acquired by a resident PSP, it is the resident acquirer that reports the cash advances at POS (and the simultaneous POS transaction for goods and services linked to that cash advance in Table 6, item a or b). </w:t>
            </w:r>
          </w:p>
          <w:p w14:paraId="26B65608" w14:textId="0DBB671A" w:rsidR="00E128D4" w:rsidRPr="00760F3B" w:rsidRDefault="00E128D4" w:rsidP="00E128D4">
            <w:pPr>
              <w:spacing w:after="120" w:line="360" w:lineRule="auto"/>
              <w:jc w:val="both"/>
              <w:rPr>
                <w:rFonts w:ascii="Times New Roman" w:hAnsi="Times New Roman"/>
                <w:sz w:val="24"/>
                <w:szCs w:val="24"/>
                <w:lang w:val="en-GB"/>
              </w:rPr>
            </w:pPr>
            <w:r w:rsidRPr="00E128D4">
              <w:rPr>
                <w:rFonts w:ascii="Times New Roman" w:hAnsi="Times New Roman"/>
                <w:sz w:val="24"/>
                <w:szCs w:val="24"/>
                <w:lang w:val="en-GB"/>
              </w:rPr>
              <w:t xml:space="preserve">Where the acquirer is a non-resident PSP, it is only the simultaneous POS transaction for goods and services linked to that cash advance that is to be </w:t>
            </w:r>
            <w:proofErr w:type="gramStart"/>
            <w:r w:rsidRPr="00E128D4">
              <w:rPr>
                <w:rFonts w:ascii="Times New Roman" w:hAnsi="Times New Roman"/>
                <w:sz w:val="24"/>
                <w:szCs w:val="24"/>
                <w:lang w:val="en-GB"/>
              </w:rPr>
              <w:t>reported  by</w:t>
            </w:r>
            <w:proofErr w:type="gramEnd"/>
            <w:r w:rsidRPr="00E128D4">
              <w:rPr>
                <w:rFonts w:ascii="Times New Roman" w:hAnsi="Times New Roman"/>
                <w:sz w:val="24"/>
                <w:szCs w:val="24"/>
                <w:lang w:val="en-GB"/>
              </w:rPr>
              <w:t xml:space="preserve"> the resident issuing PSP in Table 6, item c.</w:t>
            </w:r>
          </w:p>
        </w:tc>
      </w:tr>
    </w:tbl>
    <w:p w14:paraId="2FBF2990" w14:textId="77777777" w:rsidR="005C0363" w:rsidRDefault="005C0363" w:rsidP="005C0363">
      <w:pPr>
        <w:rPr>
          <w:lang w:val="en-GB"/>
        </w:rPr>
      </w:pPr>
    </w:p>
    <w:p w14:paraId="53AA46DD" w14:textId="77777777" w:rsidR="005C0363" w:rsidRDefault="005C0363" w:rsidP="004E576A">
      <w:pPr>
        <w:spacing w:after="120"/>
        <w:rPr>
          <w:rFonts w:ascii="Times New Roman" w:eastAsiaTheme="majorEastAsia" w:hAnsi="Times New Roman"/>
          <w:color w:val="003199"/>
          <w:sz w:val="28"/>
          <w:szCs w:val="28"/>
          <w:lang w:val="en-GB"/>
        </w:rPr>
      </w:pPr>
    </w:p>
    <w:p w14:paraId="0AD51503" w14:textId="4B216ACC" w:rsidR="00D0437A" w:rsidRPr="00C46A42" w:rsidRDefault="00D0437A" w:rsidP="00D0437A">
      <w:pPr>
        <w:pStyle w:val="Heading4"/>
        <w:numPr>
          <w:ilvl w:val="0"/>
          <w:numId w:val="34"/>
        </w:numPr>
        <w:rPr>
          <w:rFonts w:ascii="Times New Roman" w:hAnsi="Times New Roman"/>
          <w:sz w:val="24"/>
          <w:szCs w:val="24"/>
          <w:lang w:val="en-GB"/>
        </w:rPr>
      </w:pPr>
      <w:r w:rsidRPr="00C46A42">
        <w:rPr>
          <w:rFonts w:ascii="Times New Roman" w:hAnsi="Times New Roman" w:cs="Times New Roman"/>
          <w:color w:val="003199"/>
          <w:lang w:val="en-GB"/>
        </w:rPr>
        <w:t xml:space="preserve">Table </w:t>
      </w:r>
      <w:r>
        <w:rPr>
          <w:rFonts w:ascii="Times New Roman" w:hAnsi="Times New Roman" w:cs="Times New Roman"/>
          <w:color w:val="003199"/>
          <w:lang w:val="en-GB"/>
        </w:rPr>
        <w:t>7</w:t>
      </w:r>
      <w:r w:rsidRPr="00C46A42">
        <w:rPr>
          <w:rFonts w:ascii="Times New Roman" w:hAnsi="Times New Roman" w:cs="Times New Roman"/>
          <w:color w:val="003199"/>
          <w:lang w:val="en-GB"/>
        </w:rPr>
        <w:t xml:space="preserve">: </w:t>
      </w:r>
      <w:r>
        <w:rPr>
          <w:rFonts w:ascii="Times New Roman" w:hAnsi="Times New Roman" w:cs="Times New Roman"/>
          <w:color w:val="003199"/>
          <w:lang w:val="en-GB"/>
        </w:rPr>
        <w:t xml:space="preserve">Payments processed by TARGET2 </w:t>
      </w:r>
      <w:r w:rsidRPr="00284306">
        <w:rPr>
          <w:rFonts w:ascii="Times New Roman" w:hAnsi="Times New Roman" w:cs="Times New Roman"/>
          <w:i w:val="0"/>
          <w:color w:val="ED7D31" w:themeColor="accent2"/>
          <w:lang w:val="en-GB"/>
        </w:rPr>
        <w:t>(refers to worksheet 1</w:t>
      </w:r>
      <w:r>
        <w:rPr>
          <w:rFonts w:ascii="Times New Roman" w:hAnsi="Times New Roman" w:cs="Times New Roman"/>
          <w:i w:val="0"/>
          <w:color w:val="ED7D31" w:themeColor="accent2"/>
          <w:lang w:val="en-GB"/>
        </w:rPr>
        <w:t>4</w:t>
      </w:r>
      <w:r w:rsidRPr="00284306">
        <w:rPr>
          <w:rFonts w:ascii="Times New Roman" w:hAnsi="Times New Roman" w:cs="Times New Roman"/>
          <w:i w:val="0"/>
          <w:color w:val="ED7D31" w:themeColor="accent2"/>
          <w:lang w:val="en-GB"/>
        </w:rPr>
        <w:t>)</w:t>
      </w:r>
    </w:p>
    <w:p w14:paraId="3F89CE0F" w14:textId="4852243E" w:rsidR="00D0437A" w:rsidRDefault="00D0437A" w:rsidP="00D0437A">
      <w:pPr>
        <w:spacing w:after="120" w:line="360" w:lineRule="auto"/>
        <w:jc w:val="both"/>
        <w:rPr>
          <w:rFonts w:ascii="Times New Roman" w:hAnsi="Times New Roman"/>
          <w:sz w:val="24"/>
          <w:szCs w:val="24"/>
          <w:lang w:val="en-GB"/>
        </w:rPr>
      </w:pPr>
      <w:r w:rsidRPr="00D0437A">
        <w:rPr>
          <w:rFonts w:ascii="Times New Roman" w:hAnsi="Times New Roman"/>
          <w:sz w:val="24"/>
          <w:szCs w:val="24"/>
          <w:lang w:val="en-GB"/>
        </w:rPr>
        <w:t xml:space="preserve">Both retail payments (or non-bank payments) as well as transactions involving MFIs at </w:t>
      </w:r>
      <w:r>
        <w:rPr>
          <w:rFonts w:ascii="Times New Roman" w:hAnsi="Times New Roman"/>
          <w:sz w:val="24"/>
          <w:szCs w:val="24"/>
          <w:lang w:val="en-GB"/>
        </w:rPr>
        <w:t xml:space="preserve">both ends should be reported. </w:t>
      </w:r>
    </w:p>
    <w:p w14:paraId="00F16BC8" w14:textId="516136AF" w:rsidR="00D0437A" w:rsidRPr="00D0437A" w:rsidRDefault="00D0437A" w:rsidP="00D0437A">
      <w:pPr>
        <w:spacing w:after="120" w:line="360" w:lineRule="auto"/>
        <w:jc w:val="both"/>
        <w:rPr>
          <w:rFonts w:ascii="Times New Roman" w:hAnsi="Times New Roman"/>
          <w:sz w:val="24"/>
          <w:szCs w:val="24"/>
          <w:lang w:val="en-GB"/>
        </w:rPr>
      </w:pPr>
      <w:r w:rsidRPr="00D0437A">
        <w:rPr>
          <w:rFonts w:ascii="Times New Roman" w:hAnsi="Times New Roman"/>
          <w:sz w:val="24"/>
          <w:szCs w:val="24"/>
          <w:lang w:val="en-GB"/>
        </w:rPr>
        <w:t xml:space="preserve">Liquidity transfers (i.e. TIPS account funding) are not payment transactions and </w:t>
      </w:r>
      <w:r>
        <w:rPr>
          <w:rFonts w:ascii="Times New Roman" w:hAnsi="Times New Roman"/>
          <w:sz w:val="24"/>
          <w:szCs w:val="24"/>
          <w:lang w:val="en-GB"/>
        </w:rPr>
        <w:t xml:space="preserve">therefore </w:t>
      </w:r>
      <w:r w:rsidRPr="00D0437A">
        <w:rPr>
          <w:rFonts w:ascii="Times New Roman" w:hAnsi="Times New Roman"/>
          <w:sz w:val="24"/>
          <w:szCs w:val="24"/>
          <w:lang w:val="en-GB"/>
        </w:rPr>
        <w:t>ar</w:t>
      </w:r>
      <w:r>
        <w:rPr>
          <w:rFonts w:ascii="Times New Roman" w:hAnsi="Times New Roman"/>
          <w:sz w:val="24"/>
          <w:szCs w:val="24"/>
          <w:lang w:val="en-GB"/>
        </w:rPr>
        <w:t xml:space="preserve">e not included in the reporting. </w:t>
      </w:r>
      <w:r w:rsidRPr="00D0437A">
        <w:rPr>
          <w:rFonts w:ascii="Times New Roman" w:hAnsi="Times New Roman"/>
          <w:sz w:val="24"/>
          <w:szCs w:val="24"/>
          <w:lang w:val="en-GB"/>
        </w:rPr>
        <w:t xml:space="preserve">The individual TIPS credit transfers that have been processed </w:t>
      </w:r>
      <w:r>
        <w:rPr>
          <w:rFonts w:ascii="Times New Roman" w:hAnsi="Times New Roman"/>
          <w:sz w:val="24"/>
          <w:szCs w:val="24"/>
          <w:lang w:val="en-GB"/>
        </w:rPr>
        <w:t xml:space="preserve">are included in the reporting. </w:t>
      </w:r>
      <w:r w:rsidRPr="00D0437A">
        <w:rPr>
          <w:rFonts w:ascii="Times New Roman" w:hAnsi="Times New Roman"/>
          <w:sz w:val="24"/>
          <w:szCs w:val="24"/>
          <w:lang w:val="en-GB"/>
        </w:rPr>
        <w:t xml:space="preserve">Currently TIPS settles only credit transfers, however it is possible that in the future direct debits might also be involved. </w:t>
      </w:r>
    </w:p>
    <w:p w14:paraId="48C086A3" w14:textId="32F5AE6A" w:rsidR="00D0437A" w:rsidRPr="00D0437A" w:rsidRDefault="00D0437A" w:rsidP="00D0437A">
      <w:pPr>
        <w:spacing w:after="120" w:line="360" w:lineRule="auto"/>
        <w:jc w:val="both"/>
        <w:rPr>
          <w:rFonts w:ascii="Times New Roman" w:hAnsi="Times New Roman"/>
          <w:sz w:val="24"/>
          <w:szCs w:val="24"/>
          <w:lang w:val="en-GB"/>
        </w:rPr>
      </w:pPr>
      <w:r>
        <w:rPr>
          <w:rFonts w:ascii="Times New Roman" w:hAnsi="Times New Roman"/>
          <w:sz w:val="24"/>
          <w:szCs w:val="24"/>
          <w:lang w:val="en-GB"/>
        </w:rPr>
        <w:t>U</w:t>
      </w:r>
      <w:r w:rsidRPr="00D0437A">
        <w:rPr>
          <w:rFonts w:ascii="Times New Roman" w:hAnsi="Times New Roman"/>
          <w:sz w:val="24"/>
          <w:szCs w:val="24"/>
          <w:lang w:val="en-GB"/>
        </w:rPr>
        <w:t xml:space="preserve">nder the item "Credit transfers and direct debits" for the TARGET2 component only transactions between payment accounts should be reported, this applies to both TARGET2 and TIPS. Transactions involving technical accounts should not be </w:t>
      </w:r>
      <w:proofErr w:type="gramStart"/>
      <w:r w:rsidRPr="00D0437A">
        <w:rPr>
          <w:rFonts w:ascii="Times New Roman" w:hAnsi="Times New Roman"/>
          <w:sz w:val="24"/>
          <w:szCs w:val="24"/>
          <w:lang w:val="en-GB"/>
        </w:rPr>
        <w:t>reported;</w:t>
      </w:r>
      <w:proofErr w:type="gramEnd"/>
      <w:r w:rsidRPr="00D0437A">
        <w:rPr>
          <w:rFonts w:ascii="Times New Roman" w:hAnsi="Times New Roman"/>
          <w:sz w:val="24"/>
          <w:szCs w:val="24"/>
          <w:lang w:val="en-GB"/>
        </w:rPr>
        <w:t xml:space="preserve"> </w:t>
      </w:r>
    </w:p>
    <w:p w14:paraId="3B971E98" w14:textId="0ECDD3E9" w:rsidR="00D0437A" w:rsidRPr="00D0437A" w:rsidRDefault="00D0437A" w:rsidP="00D0437A">
      <w:pPr>
        <w:spacing w:line="360" w:lineRule="auto"/>
        <w:jc w:val="both"/>
        <w:rPr>
          <w:rFonts w:ascii="Times New Roman" w:hAnsi="Times New Roman"/>
          <w:sz w:val="24"/>
          <w:szCs w:val="24"/>
          <w:lang w:val="en-GB"/>
        </w:rPr>
      </w:pPr>
      <w:r>
        <w:rPr>
          <w:rFonts w:ascii="Times New Roman" w:hAnsi="Times New Roman"/>
          <w:sz w:val="24"/>
          <w:szCs w:val="24"/>
          <w:lang w:val="en-GB"/>
        </w:rPr>
        <w:t>T</w:t>
      </w:r>
      <w:r w:rsidRPr="00D0437A">
        <w:rPr>
          <w:rFonts w:ascii="Times New Roman" w:hAnsi="Times New Roman"/>
          <w:sz w:val="24"/>
          <w:szCs w:val="24"/>
          <w:lang w:val="en-GB"/>
        </w:rPr>
        <w:t>he definition of ‘cross border’ is based on the location of the component and not of the participant. In other words, the breakdown for cross-border, refers to all payment transactions sent by domestic TARGET2 component systems to TARGET2 component systems not resident in the reporting country.</w:t>
      </w:r>
    </w:p>
    <w:p w14:paraId="421541ED" w14:textId="0ECA825F" w:rsidR="00D0437A" w:rsidRPr="00D0437A" w:rsidRDefault="00D0437A" w:rsidP="00D0437A">
      <w:pPr>
        <w:spacing w:after="120" w:line="360" w:lineRule="auto"/>
        <w:jc w:val="both"/>
        <w:rPr>
          <w:rFonts w:ascii="Times New Roman" w:hAnsi="Times New Roman"/>
          <w:sz w:val="24"/>
          <w:szCs w:val="24"/>
          <w:lang w:val="en-GB"/>
        </w:rPr>
      </w:pPr>
    </w:p>
    <w:p w14:paraId="72C922C2" w14:textId="57D3D669" w:rsidR="00C46A42" w:rsidRPr="00C46A42" w:rsidRDefault="00591697" w:rsidP="006625A4">
      <w:pPr>
        <w:pStyle w:val="Heading4"/>
        <w:numPr>
          <w:ilvl w:val="0"/>
          <w:numId w:val="34"/>
        </w:numPr>
        <w:rPr>
          <w:rFonts w:ascii="Times New Roman" w:hAnsi="Times New Roman"/>
          <w:sz w:val="24"/>
          <w:szCs w:val="24"/>
          <w:lang w:val="en-GB"/>
        </w:rPr>
      </w:pPr>
      <w:r w:rsidRPr="00C46A42">
        <w:rPr>
          <w:rFonts w:ascii="Times New Roman" w:hAnsi="Times New Roman" w:cs="Times New Roman"/>
          <w:color w:val="003199"/>
          <w:lang w:val="en-GB"/>
        </w:rPr>
        <w:t>Table 8: Payments processed by selected payment systems</w:t>
      </w:r>
      <w:r w:rsidR="00C46A42">
        <w:rPr>
          <w:rFonts w:ascii="Times New Roman" w:hAnsi="Times New Roman" w:cs="Times New Roman"/>
          <w:color w:val="003199"/>
          <w:lang w:val="en-GB"/>
        </w:rPr>
        <w:t xml:space="preserve"> </w:t>
      </w:r>
      <w:r w:rsidR="00C46A42" w:rsidRPr="00284306">
        <w:rPr>
          <w:rFonts w:ascii="Times New Roman" w:hAnsi="Times New Roman" w:cs="Times New Roman"/>
          <w:i w:val="0"/>
          <w:color w:val="ED7D31" w:themeColor="accent2"/>
          <w:lang w:val="en-GB"/>
        </w:rPr>
        <w:t>(refers to worksheet 16)</w:t>
      </w:r>
    </w:p>
    <w:p w14:paraId="6DF0CB6C" w14:textId="61180D75" w:rsidR="007D6320" w:rsidRDefault="006D3E84" w:rsidP="007D6320">
      <w:pPr>
        <w:spacing w:after="120" w:line="360" w:lineRule="auto"/>
        <w:jc w:val="both"/>
        <w:rPr>
          <w:rFonts w:ascii="Times New Roman" w:hAnsi="Times New Roman"/>
          <w:sz w:val="24"/>
          <w:szCs w:val="24"/>
          <w:lang w:val="en-GB"/>
        </w:rPr>
      </w:pPr>
      <w:r w:rsidRPr="006D3E84">
        <w:rPr>
          <w:rFonts w:ascii="Times New Roman" w:hAnsi="Times New Roman"/>
          <w:sz w:val="24"/>
          <w:szCs w:val="24"/>
          <w:lang w:val="en-GB"/>
        </w:rPr>
        <w:t xml:space="preserve">Payment systems distinguish and report domestic and cross-border transactions according to the </w:t>
      </w:r>
      <w:r w:rsidRPr="006D3E84">
        <w:rPr>
          <w:rFonts w:ascii="Times New Roman" w:hAnsi="Times New Roman"/>
          <w:b/>
          <w:color w:val="003199"/>
          <w:sz w:val="24"/>
          <w:szCs w:val="24"/>
          <w:lang w:val="en-GB"/>
        </w:rPr>
        <w:t>residency of the sending and receiving participants</w:t>
      </w:r>
      <w:r w:rsidRPr="006D3E84">
        <w:rPr>
          <w:rFonts w:ascii="Times New Roman" w:hAnsi="Times New Roman"/>
          <w:sz w:val="24"/>
          <w:szCs w:val="24"/>
          <w:lang w:val="en-GB"/>
        </w:rPr>
        <w:t xml:space="preserve">. </w:t>
      </w:r>
      <w:r w:rsidR="0038192C">
        <w:rPr>
          <w:rFonts w:ascii="Times New Roman" w:hAnsi="Times New Roman"/>
          <w:sz w:val="24"/>
          <w:szCs w:val="24"/>
          <w:lang w:val="en-GB"/>
        </w:rPr>
        <w:t xml:space="preserve">Total transactions are the sum of credit </w:t>
      </w:r>
      <w:r w:rsidR="0038192C">
        <w:rPr>
          <w:rFonts w:ascii="Times New Roman" w:hAnsi="Times New Roman"/>
          <w:sz w:val="24"/>
          <w:szCs w:val="24"/>
          <w:lang w:val="en-GB"/>
        </w:rPr>
        <w:lastRenderedPageBreak/>
        <w:t>transfers, direct debits, card-based payment transactions, ATM cash withdrawals/ deposits, e-money payment transactions, cheques and other payment services. Credit transfers are broken down into those initiated in paper-based form and those initiated electronically.</w:t>
      </w:r>
      <w:r w:rsidR="007D6320">
        <w:rPr>
          <w:rFonts w:ascii="Times New Roman" w:hAnsi="Times New Roman"/>
          <w:sz w:val="24"/>
          <w:szCs w:val="24"/>
          <w:lang w:val="en-GB"/>
        </w:rPr>
        <w:t xml:space="preserve"> </w:t>
      </w:r>
      <w:r w:rsidR="007D6320" w:rsidRPr="00760F3B">
        <w:rPr>
          <w:rFonts w:ascii="Times New Roman" w:hAnsi="Times New Roman"/>
          <w:sz w:val="24"/>
          <w:szCs w:val="24"/>
          <w:lang w:val="en-GB"/>
        </w:rPr>
        <w:t>Cancelled payment transactions are excluded. Transactions that are later subject to a rejection transaction are included.</w:t>
      </w:r>
    </w:p>
    <w:p w14:paraId="631AB3CF" w14:textId="12981DC8" w:rsidR="00B8177E" w:rsidRDefault="006D3E84" w:rsidP="006D3E84">
      <w:pPr>
        <w:spacing w:after="120" w:line="360" w:lineRule="auto"/>
        <w:jc w:val="both"/>
        <w:rPr>
          <w:rFonts w:ascii="Times New Roman" w:hAnsi="Times New Roman"/>
          <w:sz w:val="24"/>
          <w:szCs w:val="24"/>
          <w:lang w:val="en-GB"/>
        </w:rPr>
      </w:pPr>
      <w:r w:rsidRPr="006D3E84">
        <w:rPr>
          <w:rFonts w:ascii="Times New Roman" w:hAnsi="Times New Roman"/>
          <w:sz w:val="24"/>
          <w:szCs w:val="24"/>
          <w:lang w:val="en-GB"/>
        </w:rPr>
        <w:t xml:space="preserve">The concentration ratio is calculated </w:t>
      </w:r>
      <w:proofErr w:type="gramStart"/>
      <w:r w:rsidRPr="006D3E84">
        <w:rPr>
          <w:rFonts w:ascii="Times New Roman" w:hAnsi="Times New Roman"/>
          <w:sz w:val="24"/>
          <w:szCs w:val="24"/>
          <w:lang w:val="en-GB"/>
        </w:rPr>
        <w:t>on the basis of</w:t>
      </w:r>
      <w:proofErr w:type="gramEnd"/>
      <w:r w:rsidRPr="006D3E84">
        <w:rPr>
          <w:rFonts w:ascii="Times New Roman" w:hAnsi="Times New Roman"/>
          <w:sz w:val="24"/>
          <w:szCs w:val="24"/>
          <w:lang w:val="en-GB"/>
        </w:rPr>
        <w:t xml:space="preserve"> the five largest senders of payment transactions, irrespective of whether these senders are direct or indirect participants in the payment system. </w:t>
      </w:r>
      <w:r w:rsidR="00206B40">
        <w:rPr>
          <w:rFonts w:ascii="Times New Roman" w:hAnsi="Times New Roman"/>
          <w:sz w:val="24"/>
          <w:szCs w:val="24"/>
          <w:lang w:val="en-GB"/>
        </w:rPr>
        <w:t>The concentration ratio should be reported in at least three (3) decimal places.</w:t>
      </w:r>
      <w:r w:rsidR="00B8177E">
        <w:rPr>
          <w:rFonts w:ascii="Times New Roman" w:hAnsi="Times New Roman"/>
          <w:sz w:val="24"/>
          <w:szCs w:val="24"/>
          <w:lang w:val="en-GB"/>
        </w:rPr>
        <w:t xml:space="preserve"> </w:t>
      </w:r>
      <w:r w:rsidR="00B8177E" w:rsidRPr="00B8177E">
        <w:rPr>
          <w:rFonts w:ascii="Times New Roman" w:hAnsi="Times New Roman"/>
          <w:sz w:val="24"/>
          <w:szCs w:val="24"/>
          <w:lang w:val="en-GB"/>
        </w:rPr>
        <w:t>‘Concentration ratio’ means the market share of the five largest senders of payment transactions in each system (this may include the central bank). The five largest senders of transactions in terms of volume may differ from the five largest senders in terms of value. Each participant which has individual access to the system is counted separately, irrespective of whether an affiliation between two or more participants exists.</w:t>
      </w:r>
    </w:p>
    <w:p w14:paraId="572CEA05" w14:textId="77777777" w:rsidR="006D3E84" w:rsidRDefault="006D3E84" w:rsidP="006D3E84">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In the case of netting systems, it is the gross number and value of payment transactions that is reported, and not the result after netting.</w:t>
      </w:r>
      <w:r>
        <w:rPr>
          <w:rFonts w:ascii="Times New Roman" w:hAnsi="Times New Roman"/>
          <w:sz w:val="24"/>
          <w:szCs w:val="24"/>
          <w:lang w:val="en-GB"/>
        </w:rPr>
        <w:t xml:space="preserve"> </w:t>
      </w:r>
    </w:p>
    <w:p w14:paraId="3C0B3BDC" w14:textId="688BA268" w:rsidR="00844738" w:rsidRDefault="00591697" w:rsidP="005158E2">
      <w:pPr>
        <w:autoSpaceDE w:val="0"/>
        <w:autoSpaceDN w:val="0"/>
        <w:adjustRightInd w:val="0"/>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In the case of a payment system, i</w:t>
      </w:r>
      <w:r w:rsidR="00BF787F">
        <w:rPr>
          <w:rFonts w:ascii="Times New Roman" w:hAnsi="Times New Roman"/>
          <w:sz w:val="24"/>
          <w:szCs w:val="24"/>
          <w:lang w:val="en-GB"/>
        </w:rPr>
        <w:t>n which another payment system (</w:t>
      </w:r>
      <w:r w:rsidRPr="00760F3B">
        <w:rPr>
          <w:rFonts w:ascii="Times New Roman" w:hAnsi="Times New Roman"/>
          <w:sz w:val="24"/>
          <w:szCs w:val="24"/>
          <w:lang w:val="en-GB"/>
        </w:rPr>
        <w:t>e.g. an ancillary payment system</w:t>
      </w:r>
      <w:r w:rsidR="00BF787F">
        <w:rPr>
          <w:rFonts w:ascii="Times New Roman" w:hAnsi="Times New Roman"/>
          <w:sz w:val="24"/>
          <w:szCs w:val="24"/>
          <w:lang w:val="en-GB"/>
        </w:rPr>
        <w:t>)</w:t>
      </w:r>
      <w:r w:rsidRPr="00760F3B">
        <w:rPr>
          <w:rFonts w:ascii="Times New Roman" w:hAnsi="Times New Roman"/>
          <w:sz w:val="24"/>
          <w:szCs w:val="24"/>
          <w:lang w:val="en-GB"/>
        </w:rPr>
        <w:t xml:space="preserve"> settles its positions, </w:t>
      </w:r>
      <w:r w:rsidR="00DB7F77">
        <w:rPr>
          <w:rFonts w:ascii="Times New Roman" w:hAnsi="Times New Roman"/>
          <w:sz w:val="24"/>
          <w:szCs w:val="24"/>
          <w:lang w:val="en-GB"/>
        </w:rPr>
        <w:t xml:space="preserve">the </w:t>
      </w:r>
      <w:r w:rsidRPr="00760F3B">
        <w:rPr>
          <w:rFonts w:ascii="Times New Roman" w:hAnsi="Times New Roman"/>
          <w:sz w:val="24"/>
          <w:szCs w:val="24"/>
          <w:lang w:val="en-GB"/>
        </w:rPr>
        <w:t>system of settlement reports the actual number of settlement operation</w:t>
      </w:r>
      <w:r w:rsidR="0038192C">
        <w:rPr>
          <w:rFonts w:ascii="Times New Roman" w:hAnsi="Times New Roman"/>
          <w:sz w:val="24"/>
          <w:szCs w:val="24"/>
          <w:lang w:val="en-GB"/>
        </w:rPr>
        <w:t>s and the actual amount settled. W</w:t>
      </w:r>
      <w:r w:rsidRPr="00760F3B">
        <w:rPr>
          <w:rFonts w:ascii="Times New Roman" w:hAnsi="Times New Roman"/>
          <w:sz w:val="24"/>
          <w:szCs w:val="24"/>
          <w:lang w:val="en-GB"/>
        </w:rPr>
        <w:t>here payment transactions are cleared outside the payment system and only net positions are settled via the payment system, only the transactions for the settlement of net positions are counted, and these are allocated to the payment service used for the settlement transaction.</w:t>
      </w:r>
    </w:p>
    <w:p w14:paraId="4FE25742" w14:textId="093D88E3" w:rsidR="004D7711" w:rsidRPr="004D7711" w:rsidRDefault="004D7711" w:rsidP="005158E2">
      <w:pPr>
        <w:autoSpaceDE w:val="0"/>
        <w:autoSpaceDN w:val="0"/>
        <w:adjustRightInd w:val="0"/>
        <w:spacing w:after="120" w:line="360" w:lineRule="auto"/>
        <w:jc w:val="both"/>
        <w:rPr>
          <w:rFonts w:ascii="Times New Roman" w:hAnsi="Times New Roman"/>
          <w:sz w:val="24"/>
          <w:szCs w:val="24"/>
          <w:lang w:val="en-GB"/>
        </w:rPr>
      </w:pPr>
      <w:r w:rsidRPr="004D7711">
        <w:rPr>
          <w:rFonts w:ascii="Times New Roman" w:hAnsi="Times New Roman"/>
          <w:sz w:val="24"/>
          <w:szCs w:val="24"/>
          <w:lang w:val="en-GB"/>
        </w:rPr>
        <w:t>Each payment transaction is counted only once on the sending participant’s side, i.e. the debiting of the payer’s account and the crediting of the payee’s account are not counted separately. For multiple credit transfers, i.e. bulk payments, each item of the payment is counted. In the case of netting systems, it is the gross number and value of payment transactions that is reported, and not the result after netting. Payment systems distinguish and report domestic and cross-border transactions according to the residency of the sending and receiving participants. The classification ‘domestic transactions’ or ‘cross-border transactions’ reflects the location of the parties involved. To avoid double-counting, cross-border transactions are counted in the country in which the transaction originates. Transactions initiated at ATM are reported in the breakdown of the respective payment service used. The indicator ‘card-based payment instruments’ includes all payment transactions processed in the payment system, irrespective of where the card-based payment instrument was issued or used. Cancelled payment transactions are excluded. Transactions that are later subject to a rejection transaction are included.</w:t>
      </w:r>
    </w:p>
    <w:p w14:paraId="62C02037" w14:textId="77777777" w:rsidR="004D7711" w:rsidRDefault="00844738" w:rsidP="005158E2">
      <w:pPr>
        <w:autoSpaceDE w:val="0"/>
        <w:autoSpaceDN w:val="0"/>
        <w:adjustRightInd w:val="0"/>
        <w:spacing w:after="120" w:line="360" w:lineRule="auto"/>
        <w:jc w:val="both"/>
        <w:rPr>
          <w:lang w:val="en-GB"/>
        </w:rPr>
      </w:pPr>
      <w:r w:rsidRPr="00E429FD">
        <w:rPr>
          <w:rFonts w:ascii="Times New Roman" w:hAnsi="Times New Roman"/>
          <w:sz w:val="24"/>
          <w:szCs w:val="24"/>
          <w:lang w:val="en-GB"/>
        </w:rPr>
        <w:lastRenderedPageBreak/>
        <w:t>Only payments transactions should be reported, this applies to both TARGET2 and TIPS. All liquidity transfers (i.e. TIPS account funding transactions) are not payment transactions and are not included in the reporting, but SCT Inst payments should be reported, if these are settled on TIPS dedicated cash accounts and/or if these are settled on TIPS Ancillary System technical accounts.</w:t>
      </w:r>
      <w:r w:rsidR="00874533">
        <w:rPr>
          <w:rFonts w:ascii="Times New Roman" w:hAnsi="Times New Roman"/>
          <w:sz w:val="24"/>
          <w:szCs w:val="24"/>
          <w:lang w:val="en-GB"/>
        </w:rPr>
        <w:t xml:space="preserve"> </w:t>
      </w:r>
      <w:r w:rsidR="00874533" w:rsidRPr="00874533">
        <w:rPr>
          <w:rFonts w:ascii="Times New Roman" w:hAnsi="Times New Roman"/>
          <w:sz w:val="24"/>
          <w:szCs w:val="24"/>
          <w:lang w:val="en-GB"/>
        </w:rPr>
        <w:t>TIPS transactions are reported as standalone breakdown</w:t>
      </w:r>
      <w:r w:rsidR="00874533">
        <w:rPr>
          <w:rFonts w:ascii="Times New Roman" w:hAnsi="Times New Roman"/>
          <w:sz w:val="24"/>
          <w:szCs w:val="24"/>
          <w:lang w:val="en-GB"/>
        </w:rPr>
        <w:t xml:space="preserve">. </w:t>
      </w:r>
      <w:r w:rsidR="00874533" w:rsidRPr="00874533">
        <w:rPr>
          <w:rFonts w:ascii="Times New Roman" w:hAnsi="Times New Roman"/>
          <w:sz w:val="24"/>
          <w:szCs w:val="24"/>
          <w:lang w:val="en-GB"/>
        </w:rPr>
        <w:t>The concentration ratio should not take any TIPS data into account.</w:t>
      </w:r>
      <w:r w:rsidR="00874533">
        <w:rPr>
          <w:lang w:val="en-GB"/>
        </w:rPr>
        <w:t xml:space="preserve"> </w:t>
      </w:r>
    </w:p>
    <w:p w14:paraId="2639794A" w14:textId="77777777" w:rsidR="004D7711" w:rsidRDefault="004D7711" w:rsidP="005158E2">
      <w:pPr>
        <w:autoSpaceDE w:val="0"/>
        <w:autoSpaceDN w:val="0"/>
        <w:adjustRightInd w:val="0"/>
        <w:spacing w:after="120" w:line="360" w:lineRule="auto"/>
        <w:jc w:val="both"/>
        <w:rPr>
          <w:lang w:val="en-GB"/>
        </w:rPr>
      </w:pPr>
    </w:p>
    <w:p w14:paraId="6675D584" w14:textId="264C4B8C" w:rsidR="006C1994" w:rsidRPr="00E429FD" w:rsidRDefault="004D7711" w:rsidP="005158E2">
      <w:pPr>
        <w:autoSpaceDE w:val="0"/>
        <w:autoSpaceDN w:val="0"/>
        <w:adjustRightInd w:val="0"/>
        <w:spacing w:after="120" w:line="360" w:lineRule="auto"/>
        <w:jc w:val="both"/>
        <w:rPr>
          <w:rFonts w:ascii="Times New Roman" w:hAnsi="Times New Roman"/>
          <w:sz w:val="24"/>
          <w:szCs w:val="24"/>
          <w:lang w:val="en-GB"/>
        </w:rPr>
      </w:pPr>
      <w:r w:rsidRPr="00E429FD">
        <w:rPr>
          <w:rFonts w:ascii="Times New Roman" w:hAnsi="Times New Roman"/>
          <w:sz w:val="24"/>
          <w:szCs w:val="24"/>
          <w:lang w:val="en-GB"/>
        </w:rPr>
        <w:t xml:space="preserve"> </w:t>
      </w:r>
      <w:r w:rsidR="006C1994" w:rsidRPr="00E429FD">
        <w:rPr>
          <w:rFonts w:ascii="Times New Roman" w:hAnsi="Times New Roman"/>
          <w:sz w:val="24"/>
          <w:szCs w:val="24"/>
          <w:lang w:val="en-GB"/>
        </w:rPr>
        <w:br w:type="page"/>
      </w:r>
    </w:p>
    <w:p w14:paraId="0B5A1C64" w14:textId="625B5FC4" w:rsidR="006625A4" w:rsidRPr="006625A4" w:rsidRDefault="006625A4" w:rsidP="006625A4">
      <w:pPr>
        <w:pStyle w:val="Heading3"/>
        <w:numPr>
          <w:ilvl w:val="0"/>
          <w:numId w:val="36"/>
        </w:numPr>
        <w:rPr>
          <w:rFonts w:ascii="Times New Roman" w:hAnsi="Times New Roman" w:cs="Times New Roman"/>
          <w:b/>
          <w:lang w:val="en-GB"/>
        </w:rPr>
      </w:pPr>
      <w:bookmarkStart w:id="50" w:name="_Toc221126453"/>
      <w:r w:rsidRPr="006625A4">
        <w:rPr>
          <w:rFonts w:ascii="Times New Roman" w:hAnsi="Times New Roman" w:cs="Times New Roman"/>
          <w:b/>
          <w:lang w:val="en-GB"/>
        </w:rPr>
        <w:lastRenderedPageBreak/>
        <w:t>PAYSTS2_MASTER_TEMPLATE_FRAUDULENT_SEMI-ANNUAL</w:t>
      </w:r>
      <w:bookmarkEnd w:id="50"/>
    </w:p>
    <w:p w14:paraId="28FCBDBA" w14:textId="77777777" w:rsidR="006D3E84" w:rsidRPr="00760F3B" w:rsidRDefault="006D3E84" w:rsidP="00D60F53">
      <w:pPr>
        <w:autoSpaceDE w:val="0"/>
        <w:autoSpaceDN w:val="0"/>
        <w:adjustRightInd w:val="0"/>
        <w:spacing w:after="120" w:line="240" w:lineRule="exact"/>
        <w:jc w:val="both"/>
        <w:rPr>
          <w:rFonts w:ascii="Times New Roman" w:hAnsi="Times New Roman"/>
          <w:sz w:val="24"/>
          <w:szCs w:val="24"/>
          <w:lang w:val="en-GB"/>
        </w:rPr>
      </w:pPr>
    </w:p>
    <w:p w14:paraId="3980DAC9" w14:textId="17BCFC4E" w:rsidR="006625A4" w:rsidRPr="00284306" w:rsidRDefault="006625A4" w:rsidP="006625A4">
      <w:pPr>
        <w:pStyle w:val="Heading4"/>
        <w:numPr>
          <w:ilvl w:val="0"/>
          <w:numId w:val="34"/>
        </w:numPr>
        <w:rPr>
          <w:rFonts w:ascii="Times New Roman" w:hAnsi="Times New Roman"/>
          <w:color w:val="ED7D31" w:themeColor="accent2"/>
          <w:sz w:val="24"/>
          <w:szCs w:val="24"/>
          <w:lang w:val="en-GB"/>
        </w:rPr>
      </w:pPr>
      <w:r w:rsidRPr="00C46A42">
        <w:rPr>
          <w:rFonts w:ascii="Times New Roman" w:hAnsi="Times New Roman" w:cs="Times New Roman"/>
          <w:color w:val="003199"/>
          <w:lang w:val="en-GB"/>
        </w:rPr>
        <w:t>Table 5a: Fraudulent payment transactions involving non-MFIs</w:t>
      </w:r>
      <w:r w:rsidRPr="00C46A42">
        <w:rPr>
          <w:rFonts w:ascii="Times New Roman" w:hAnsi="Times New Roman"/>
          <w:vertAlign w:val="superscript"/>
          <w:lang w:val="en-GB"/>
        </w:rPr>
        <w:fldChar w:fldCharType="begin"/>
      </w:r>
      <w:r w:rsidRPr="00C46A42">
        <w:rPr>
          <w:rFonts w:ascii="Times New Roman" w:hAnsi="Times New Roman"/>
          <w:vertAlign w:val="superscript"/>
          <w:lang w:val="en-GB"/>
        </w:rPr>
        <w:instrText xml:space="preserve"> NOTEREF _Ref88719588 \h  \* MERGEFORMAT </w:instrText>
      </w:r>
      <w:r w:rsidRPr="00C46A42">
        <w:rPr>
          <w:rFonts w:ascii="Times New Roman" w:hAnsi="Times New Roman"/>
          <w:vertAlign w:val="superscript"/>
          <w:lang w:val="en-GB"/>
        </w:rPr>
      </w:r>
      <w:r w:rsidRPr="00C46A42">
        <w:rPr>
          <w:rFonts w:ascii="Times New Roman" w:hAnsi="Times New Roman"/>
          <w:vertAlign w:val="superscript"/>
          <w:lang w:val="en-GB"/>
        </w:rPr>
        <w:fldChar w:fldCharType="separate"/>
      </w:r>
      <w:r w:rsidR="00F53249">
        <w:rPr>
          <w:rFonts w:ascii="Times New Roman" w:hAnsi="Times New Roman"/>
          <w:vertAlign w:val="superscript"/>
          <w:lang w:val="en-GB"/>
        </w:rPr>
        <w:t>2</w:t>
      </w:r>
      <w:r w:rsidRPr="00C46A42">
        <w:rPr>
          <w:rFonts w:ascii="Times New Roman" w:hAnsi="Times New Roman"/>
          <w:vertAlign w:val="superscript"/>
          <w:lang w:val="en-GB"/>
        </w:rPr>
        <w:fldChar w:fldCharType="end"/>
      </w:r>
      <w:r>
        <w:rPr>
          <w:rFonts w:ascii="Times New Roman" w:hAnsi="Times New Roman" w:cs="Times New Roman"/>
          <w:i w:val="0"/>
          <w:color w:val="auto"/>
          <w:lang w:val="en-GB"/>
        </w:rPr>
        <w:t xml:space="preserve"> </w:t>
      </w:r>
      <w:r w:rsidRPr="00284306">
        <w:rPr>
          <w:rFonts w:ascii="Times New Roman" w:hAnsi="Times New Roman" w:cs="Times New Roman"/>
          <w:i w:val="0"/>
          <w:color w:val="ED7D31" w:themeColor="accent2"/>
          <w:lang w:val="en-GB"/>
        </w:rPr>
        <w:t>(refers to worksheets 1-7.06)</w:t>
      </w:r>
    </w:p>
    <w:p w14:paraId="1F5628C3" w14:textId="3FDFC7F5" w:rsidR="006625A4" w:rsidRDefault="006625A4" w:rsidP="006625A4">
      <w:pPr>
        <w:spacing w:after="120" w:line="360" w:lineRule="auto"/>
        <w:jc w:val="both"/>
        <w:rPr>
          <w:rFonts w:ascii="Times New Roman" w:hAnsi="Times New Roman"/>
          <w:sz w:val="24"/>
          <w:szCs w:val="24"/>
          <w:lang w:val="en-GB"/>
        </w:rPr>
      </w:pPr>
      <w:r>
        <w:rPr>
          <w:rFonts w:ascii="Times New Roman" w:hAnsi="Times New Roman"/>
          <w:sz w:val="24"/>
          <w:szCs w:val="24"/>
          <w:lang w:val="en-GB"/>
        </w:rPr>
        <w:t>The g</w:t>
      </w:r>
      <w:r w:rsidRPr="00116637">
        <w:rPr>
          <w:rFonts w:ascii="Times New Roman" w:hAnsi="Times New Roman"/>
          <w:sz w:val="24"/>
          <w:szCs w:val="24"/>
          <w:lang w:val="en-GB"/>
        </w:rPr>
        <w:t>uidance and detailed description of</w:t>
      </w:r>
      <w:r>
        <w:rPr>
          <w:rFonts w:ascii="Times New Roman" w:hAnsi="Times New Roman"/>
          <w:sz w:val="24"/>
          <w:szCs w:val="24"/>
          <w:lang w:val="en-GB"/>
        </w:rPr>
        <w:t xml:space="preserve"> the attributes in </w:t>
      </w:r>
      <w:hyperlink w:anchor="_Table_4a:_Payment_1" w:history="1">
        <w:r w:rsidRPr="0044732A">
          <w:rPr>
            <w:rStyle w:val="Hyperlink"/>
            <w:rFonts w:ascii="Times New Roman" w:hAnsi="Times New Roman"/>
            <w:sz w:val="24"/>
            <w:szCs w:val="24"/>
            <w:lang w:val="en-GB"/>
          </w:rPr>
          <w:t>Table 4a</w:t>
        </w:r>
      </w:hyperlink>
      <w:r>
        <w:rPr>
          <w:rFonts w:ascii="Times New Roman" w:hAnsi="Times New Roman"/>
          <w:sz w:val="24"/>
          <w:szCs w:val="24"/>
          <w:lang w:val="en-GB"/>
        </w:rPr>
        <w:t xml:space="preserve"> also apply to ‘Fraudulent transactions’ where applicable. </w:t>
      </w:r>
    </w:p>
    <w:p w14:paraId="7D8046D3" w14:textId="77777777" w:rsidR="00923385" w:rsidRPr="00760F3B" w:rsidRDefault="00923385" w:rsidP="00923385">
      <w:pPr>
        <w:spacing w:after="120" w:line="360" w:lineRule="auto"/>
        <w:jc w:val="both"/>
        <w:rPr>
          <w:rFonts w:ascii="Times New Roman" w:hAnsi="Times New Roman"/>
          <w:sz w:val="24"/>
          <w:szCs w:val="24"/>
          <w:lang w:val="en-GB"/>
        </w:rPr>
      </w:pPr>
      <w:r w:rsidRPr="007A2236">
        <w:rPr>
          <w:rFonts w:ascii="Times New Roman" w:hAnsi="Times New Roman"/>
          <w:sz w:val="24"/>
          <w:szCs w:val="24"/>
          <w:lang w:val="en-GB"/>
        </w:rPr>
        <w:t>For refunds of direct debits under eight weeks, the provision of paragraph 20 of section 3.2 of the EBA Guidelines applies</w:t>
      </w:r>
      <w:r>
        <w:rPr>
          <w:rStyle w:val="FootnoteReference"/>
          <w:rFonts w:ascii="Times New Roman" w:hAnsi="Times New Roman"/>
          <w:sz w:val="24"/>
          <w:szCs w:val="24"/>
          <w:lang w:val="en-GB"/>
        </w:rPr>
        <w:footnoteReference w:id="90"/>
      </w:r>
      <w:r w:rsidRPr="007A2236">
        <w:rPr>
          <w:rFonts w:ascii="Times New Roman" w:hAnsi="Times New Roman"/>
          <w:sz w:val="24"/>
          <w:szCs w:val="24"/>
          <w:lang w:val="en-GB"/>
        </w:rPr>
        <w:t>.</w:t>
      </w:r>
    </w:p>
    <w:p w14:paraId="44910AAB" w14:textId="320963F0" w:rsidR="006625A4" w:rsidRDefault="006625A4" w:rsidP="006625A4">
      <w:pPr>
        <w:spacing w:after="120" w:line="360" w:lineRule="auto"/>
        <w:jc w:val="both"/>
        <w:rPr>
          <w:rFonts w:ascii="Times New Roman" w:hAnsi="Times New Roman"/>
          <w:sz w:val="24"/>
          <w:szCs w:val="24"/>
          <w:lang w:val="en-GB"/>
        </w:rPr>
      </w:pPr>
      <w:r w:rsidRPr="00760F3B">
        <w:rPr>
          <w:rFonts w:ascii="Times New Roman" w:hAnsi="Times New Roman"/>
          <w:sz w:val="24"/>
          <w:szCs w:val="24"/>
          <w:lang w:val="en-GB"/>
        </w:rPr>
        <w:t>Fraudulent payment transactions are reported the day the transaction has been executed in accordance with PSD2.</w:t>
      </w:r>
      <w:r>
        <w:rPr>
          <w:rFonts w:ascii="Times New Roman" w:hAnsi="Times New Roman"/>
          <w:sz w:val="24"/>
          <w:szCs w:val="24"/>
          <w:lang w:val="en-GB"/>
        </w:rPr>
        <w:t xml:space="preserve"> </w:t>
      </w:r>
      <w:r w:rsidRPr="00BB6A7F">
        <w:rPr>
          <w:rFonts w:ascii="Times New Roman" w:hAnsi="Times New Roman"/>
          <w:sz w:val="24"/>
          <w:szCs w:val="24"/>
          <w:lang w:val="en-GB"/>
        </w:rPr>
        <w:t xml:space="preserve">The </w:t>
      </w:r>
      <w:r>
        <w:rPr>
          <w:rFonts w:ascii="Times New Roman" w:hAnsi="Times New Roman"/>
          <w:sz w:val="24"/>
          <w:szCs w:val="24"/>
          <w:lang w:val="en-GB"/>
        </w:rPr>
        <w:t>PSP</w:t>
      </w:r>
      <w:r w:rsidRPr="00BB6A7F">
        <w:rPr>
          <w:rFonts w:ascii="Times New Roman" w:hAnsi="Times New Roman"/>
          <w:sz w:val="24"/>
          <w:szCs w:val="24"/>
          <w:lang w:val="en-GB"/>
        </w:rPr>
        <w:t xml:space="preserve"> should report all fraudulent payment transactio</w:t>
      </w:r>
      <w:r>
        <w:rPr>
          <w:rFonts w:ascii="Times New Roman" w:hAnsi="Times New Roman"/>
          <w:sz w:val="24"/>
          <w:szCs w:val="24"/>
          <w:lang w:val="en-GB"/>
        </w:rPr>
        <w:t xml:space="preserve">ns from the time fraud has been </w:t>
      </w:r>
      <w:r w:rsidRPr="00BB6A7F">
        <w:rPr>
          <w:rFonts w:ascii="Times New Roman" w:hAnsi="Times New Roman"/>
          <w:sz w:val="24"/>
          <w:szCs w:val="24"/>
          <w:lang w:val="en-GB"/>
        </w:rPr>
        <w:t xml:space="preserve">detected, through a customer complaint or other means, regardless of </w:t>
      </w:r>
      <w:proofErr w:type="gramStart"/>
      <w:r w:rsidRPr="00BB6A7F">
        <w:rPr>
          <w:rFonts w:ascii="Times New Roman" w:hAnsi="Times New Roman"/>
          <w:sz w:val="24"/>
          <w:szCs w:val="24"/>
          <w:lang w:val="en-GB"/>
        </w:rPr>
        <w:t>whether or not</w:t>
      </w:r>
      <w:proofErr w:type="gramEnd"/>
      <w:r w:rsidRPr="00BB6A7F">
        <w:rPr>
          <w:rFonts w:ascii="Times New Roman" w:hAnsi="Times New Roman"/>
          <w:sz w:val="24"/>
          <w:szCs w:val="24"/>
          <w:lang w:val="en-GB"/>
        </w:rPr>
        <w:t xml:space="preserve"> the case related to the</w:t>
      </w:r>
      <w:r>
        <w:rPr>
          <w:rFonts w:ascii="Times New Roman" w:hAnsi="Times New Roman"/>
          <w:sz w:val="24"/>
          <w:szCs w:val="24"/>
          <w:lang w:val="en-GB"/>
        </w:rPr>
        <w:t xml:space="preserve"> </w:t>
      </w:r>
      <w:r w:rsidRPr="00BB6A7F">
        <w:rPr>
          <w:rFonts w:ascii="Times New Roman" w:hAnsi="Times New Roman"/>
          <w:sz w:val="24"/>
          <w:szCs w:val="24"/>
          <w:lang w:val="en-GB"/>
        </w:rPr>
        <w:t>fraudulent payment transaction has been resolved by the time the data are reported.</w:t>
      </w:r>
      <w:r>
        <w:rPr>
          <w:rFonts w:ascii="Times New Roman" w:hAnsi="Times New Roman"/>
          <w:sz w:val="24"/>
          <w:szCs w:val="24"/>
          <w:lang w:val="en-GB"/>
        </w:rPr>
        <w:t xml:space="preserve"> It is noted that a</w:t>
      </w:r>
      <w:r w:rsidRPr="00230967">
        <w:rPr>
          <w:rFonts w:ascii="Times New Roman" w:hAnsi="Times New Roman"/>
          <w:sz w:val="24"/>
          <w:szCs w:val="24"/>
          <w:lang w:val="en-GB"/>
        </w:rPr>
        <w:t xml:space="preserve">ttempted fraud which has been stopped and thus not resulted in fraudulent transaction is not </w:t>
      </w:r>
      <w:r>
        <w:rPr>
          <w:rFonts w:ascii="Times New Roman" w:hAnsi="Times New Roman"/>
          <w:sz w:val="24"/>
          <w:szCs w:val="24"/>
          <w:lang w:val="en-GB"/>
        </w:rPr>
        <w:t xml:space="preserve">going </w:t>
      </w:r>
      <w:r w:rsidRPr="00230967">
        <w:rPr>
          <w:rFonts w:ascii="Times New Roman" w:hAnsi="Times New Roman"/>
          <w:sz w:val="24"/>
          <w:szCs w:val="24"/>
          <w:lang w:val="en-GB"/>
        </w:rPr>
        <w:t xml:space="preserve">to be reported. </w:t>
      </w:r>
    </w:p>
    <w:p w14:paraId="2D4BADE1" w14:textId="15BC9840" w:rsidR="00983FDD" w:rsidRPr="00BB6A7F" w:rsidRDefault="00983FDD" w:rsidP="006625A4">
      <w:pPr>
        <w:spacing w:after="120" w:line="360" w:lineRule="auto"/>
        <w:jc w:val="both"/>
        <w:rPr>
          <w:rFonts w:ascii="Times New Roman" w:hAnsi="Times New Roman"/>
          <w:sz w:val="24"/>
          <w:szCs w:val="24"/>
          <w:lang w:val="en-GB"/>
        </w:rPr>
      </w:pPr>
      <w:r w:rsidRPr="00983FDD">
        <w:rPr>
          <w:rFonts w:ascii="Times New Roman" w:hAnsi="Times New Roman"/>
          <w:sz w:val="24"/>
          <w:szCs w:val="24"/>
          <w:lang w:val="en-GB"/>
        </w:rPr>
        <w:t>Once a transaction has been detected as fraudulent, it should be consistently reported under both payments and fraudulent transactions for the reference period in which the original payment transaction was executed. This is without prejudice to the process of confirming the fraud.</w:t>
      </w:r>
      <w:r w:rsidRPr="00983FDD">
        <w:rPr>
          <w:rFonts w:ascii="Times New Roman" w:hAnsi="Times New Roman"/>
          <w:sz w:val="24"/>
          <w:szCs w:val="24"/>
          <w:lang w:val="en-GB"/>
        </w:rPr>
        <w:br/>
        <w:t>We note that in rare cases, fraudulent transactions executed in a certain reference period may only be detected as fraudulent after the reporting deadline for this period and thus would not be included in the initial reporting for this reference period. However, in these cases, they should be included in revised reporting for this period rather than as a fraudulent transaction executed in the following reference period. Consequently, the validation checks should still hold.</w:t>
      </w:r>
      <w:r w:rsidR="00E15F23" w:rsidRPr="00F20AE1">
        <w:rPr>
          <w:noProof/>
          <w:lang w:val="en-US"/>
        </w:rPr>
        <w:t xml:space="preserve"> </w:t>
      </w:r>
    </w:p>
    <w:p w14:paraId="0B532C39" w14:textId="2DD377A4" w:rsidR="006625A4" w:rsidRPr="00344BAE" w:rsidRDefault="006625A4" w:rsidP="006625A4">
      <w:pPr>
        <w:spacing w:after="120" w:line="360" w:lineRule="auto"/>
        <w:jc w:val="both"/>
        <w:rPr>
          <w:rFonts w:ascii="Times New Roman" w:hAnsi="Times New Roman"/>
          <w:sz w:val="24"/>
          <w:szCs w:val="24"/>
          <w:lang w:val="en-GB"/>
        </w:rPr>
      </w:pPr>
      <w:r w:rsidRPr="00C51920">
        <w:rPr>
          <w:rFonts w:ascii="Times New Roman" w:hAnsi="Times New Roman"/>
          <w:sz w:val="24"/>
          <w:szCs w:val="24"/>
          <w:lang w:val="en-GB"/>
        </w:rPr>
        <w:t xml:space="preserve">Besides the breakdowns of Table 4a, </w:t>
      </w:r>
      <w:r>
        <w:rPr>
          <w:rFonts w:ascii="Times New Roman" w:hAnsi="Times New Roman"/>
          <w:sz w:val="24"/>
          <w:szCs w:val="24"/>
          <w:lang w:val="en-GB"/>
        </w:rPr>
        <w:t xml:space="preserve">the value of </w:t>
      </w:r>
      <w:r w:rsidRPr="00C51920">
        <w:rPr>
          <w:rFonts w:ascii="Times New Roman" w:hAnsi="Times New Roman"/>
          <w:sz w:val="24"/>
          <w:szCs w:val="24"/>
          <w:lang w:val="en-GB"/>
        </w:rPr>
        <w:t>losses du</w:t>
      </w:r>
      <w:r>
        <w:rPr>
          <w:rFonts w:ascii="Times New Roman" w:hAnsi="Times New Roman"/>
          <w:sz w:val="24"/>
          <w:szCs w:val="24"/>
          <w:lang w:val="en-GB"/>
        </w:rPr>
        <w:t>e to fraud per liability bearer</w:t>
      </w:r>
      <w:r w:rsidR="006148E6">
        <w:rPr>
          <w:rStyle w:val="FootnoteReference"/>
          <w:rFonts w:ascii="Times New Roman" w:hAnsi="Times New Roman"/>
          <w:sz w:val="24"/>
          <w:szCs w:val="24"/>
          <w:lang w:val="en-GB"/>
        </w:rPr>
        <w:footnoteReference w:id="91"/>
      </w:r>
      <w:r w:rsidRPr="00C51920">
        <w:rPr>
          <w:rFonts w:ascii="Times New Roman" w:hAnsi="Times New Roman"/>
          <w:sz w:val="24"/>
          <w:szCs w:val="24"/>
          <w:lang w:val="en-GB"/>
        </w:rPr>
        <w:t xml:space="preserve"> is to be reported for </w:t>
      </w:r>
      <w:r>
        <w:rPr>
          <w:rFonts w:ascii="Times New Roman" w:hAnsi="Times New Roman"/>
          <w:sz w:val="24"/>
          <w:szCs w:val="24"/>
          <w:lang w:val="en-GB"/>
        </w:rPr>
        <w:t>fraudulent payment transactions in this Table</w:t>
      </w:r>
      <w:r w:rsidRPr="00C51920">
        <w:rPr>
          <w:rFonts w:ascii="Times New Roman" w:hAnsi="Times New Roman"/>
          <w:sz w:val="24"/>
          <w:szCs w:val="24"/>
          <w:lang w:val="en-GB"/>
        </w:rPr>
        <w:t xml:space="preserve">. </w:t>
      </w:r>
      <w:r w:rsidRPr="00344BAE">
        <w:rPr>
          <w:rFonts w:ascii="Times New Roman" w:hAnsi="Times New Roman"/>
          <w:sz w:val="24"/>
          <w:szCs w:val="24"/>
          <w:lang w:val="en-GB"/>
        </w:rPr>
        <w:t xml:space="preserve">‘Losses due to fraud per liability bearer’ is </w:t>
      </w:r>
      <w:r w:rsidRPr="00344BAE">
        <w:rPr>
          <w:rFonts w:ascii="Times New Roman" w:hAnsi="Times New Roman"/>
          <w:sz w:val="24"/>
          <w:szCs w:val="24"/>
          <w:lang w:val="en-GB"/>
        </w:rPr>
        <w:lastRenderedPageBreak/>
        <w:t xml:space="preserve">further split into </w:t>
      </w:r>
      <w:r>
        <w:rPr>
          <w:rFonts w:ascii="Times New Roman" w:hAnsi="Times New Roman"/>
          <w:sz w:val="24"/>
          <w:szCs w:val="24"/>
          <w:lang w:val="en-GB"/>
        </w:rPr>
        <w:t xml:space="preserve">the mutually exclusive sub-categories </w:t>
      </w:r>
      <w:r w:rsidRPr="00344BAE">
        <w:rPr>
          <w:rFonts w:ascii="Times New Roman" w:hAnsi="Times New Roman"/>
          <w:sz w:val="24"/>
          <w:szCs w:val="24"/>
          <w:lang w:val="en-GB"/>
        </w:rPr>
        <w:t>‘the reporting PSP’, ‘the PSU</w:t>
      </w:r>
      <w:r w:rsidR="005E06A3" w:rsidRPr="005E06A3">
        <w:rPr>
          <w:rStyle w:val="FootnoteReference"/>
        </w:rPr>
        <w:fldChar w:fldCharType="begin"/>
      </w:r>
      <w:r w:rsidR="005E06A3" w:rsidRPr="005E06A3">
        <w:rPr>
          <w:rStyle w:val="FootnoteReference"/>
          <w:lang w:val="en-GB"/>
        </w:rPr>
        <w:instrText xml:space="preserve"> NOTEREF _Ref95804109 \h  \* MERGEFORMAT </w:instrText>
      </w:r>
      <w:r w:rsidR="005E06A3" w:rsidRPr="005E06A3">
        <w:rPr>
          <w:rStyle w:val="FootnoteReference"/>
        </w:rPr>
      </w:r>
      <w:r w:rsidR="005E06A3" w:rsidRPr="005E06A3">
        <w:rPr>
          <w:rStyle w:val="FootnoteReference"/>
        </w:rPr>
        <w:fldChar w:fldCharType="separate"/>
      </w:r>
      <w:r w:rsidR="00F53249">
        <w:rPr>
          <w:rStyle w:val="FootnoteReference"/>
          <w:lang w:val="en-GB"/>
        </w:rPr>
        <w:t>13</w:t>
      </w:r>
      <w:r w:rsidR="005E06A3" w:rsidRPr="005E06A3">
        <w:rPr>
          <w:rStyle w:val="FootnoteReference"/>
        </w:rPr>
        <w:fldChar w:fldCharType="end"/>
      </w:r>
      <w:r w:rsidRPr="00344BAE">
        <w:rPr>
          <w:rFonts w:ascii="Times New Roman" w:hAnsi="Times New Roman"/>
          <w:sz w:val="24"/>
          <w:szCs w:val="24"/>
          <w:lang w:val="en-GB"/>
        </w:rPr>
        <w:t xml:space="preserve"> of the reporting PSP’ and ‘others’. The sum of </w:t>
      </w:r>
      <w:r>
        <w:rPr>
          <w:rFonts w:ascii="Times New Roman" w:hAnsi="Times New Roman"/>
          <w:sz w:val="24"/>
          <w:szCs w:val="24"/>
          <w:lang w:val="en-GB"/>
        </w:rPr>
        <w:t>these categories</w:t>
      </w:r>
      <w:r w:rsidRPr="00344BAE">
        <w:rPr>
          <w:rFonts w:ascii="Times New Roman" w:hAnsi="Times New Roman"/>
          <w:sz w:val="24"/>
          <w:szCs w:val="24"/>
          <w:lang w:val="en-GB"/>
        </w:rPr>
        <w:t xml:space="preserve"> is not equal to the total value of fraudulent transactions.</w:t>
      </w:r>
    </w:p>
    <w:p w14:paraId="10D441FB" w14:textId="5F8EF44D" w:rsidR="006625A4" w:rsidRDefault="006625A4" w:rsidP="006625A4">
      <w:pPr>
        <w:spacing w:after="120" w:line="360" w:lineRule="auto"/>
        <w:jc w:val="both"/>
        <w:rPr>
          <w:rFonts w:ascii="Times New Roman" w:hAnsi="Times New Roman"/>
          <w:sz w:val="24"/>
          <w:szCs w:val="24"/>
          <w:lang w:val="en-GB"/>
        </w:rPr>
      </w:pPr>
      <w:r w:rsidRPr="00BB6A7F">
        <w:rPr>
          <w:rFonts w:ascii="Times New Roman" w:hAnsi="Times New Roman"/>
          <w:sz w:val="24"/>
          <w:szCs w:val="24"/>
          <w:lang w:val="en-GB"/>
        </w:rPr>
        <w:t>Fraudulent payment transactions are further split</w:t>
      </w:r>
      <w:r>
        <w:rPr>
          <w:rStyle w:val="FootnoteReference"/>
          <w:rFonts w:ascii="Times New Roman" w:hAnsi="Times New Roman"/>
          <w:sz w:val="24"/>
          <w:szCs w:val="24"/>
          <w:lang w:val="en-GB"/>
        </w:rPr>
        <w:footnoteReference w:id="92"/>
      </w:r>
      <w:r w:rsidRPr="00BB6A7F">
        <w:rPr>
          <w:rFonts w:ascii="Times New Roman" w:hAnsi="Times New Roman"/>
          <w:sz w:val="24"/>
          <w:szCs w:val="24"/>
          <w:lang w:val="en-GB"/>
        </w:rPr>
        <w:t xml:space="preserve"> into the fraud origin. The fraud origin is reported for each payment scheme and further broken down by ‘authenticated via SCA’ and those ‘authenticated via non-SCA’ within that category. For each breakdown, the fraud origins are mutually exclusive. </w:t>
      </w:r>
    </w:p>
    <w:p w14:paraId="39F3E14C" w14:textId="77777777" w:rsidR="006625A4" w:rsidRPr="00BB6A7F" w:rsidRDefault="006625A4" w:rsidP="006625A4">
      <w:pPr>
        <w:spacing w:after="120" w:line="360" w:lineRule="auto"/>
        <w:jc w:val="both"/>
        <w:rPr>
          <w:rFonts w:ascii="Times New Roman" w:hAnsi="Times New Roman"/>
          <w:sz w:val="24"/>
          <w:szCs w:val="24"/>
          <w:lang w:val="en-GB"/>
        </w:rPr>
      </w:pPr>
    </w:p>
    <w:tbl>
      <w:tblPr>
        <w:tblW w:w="9732" w:type="dxa"/>
        <w:tblLook w:val="04A0" w:firstRow="1" w:lastRow="0" w:firstColumn="1" w:lastColumn="0" w:noHBand="0" w:noVBand="1"/>
      </w:tblPr>
      <w:tblGrid>
        <w:gridCol w:w="3964"/>
        <w:gridCol w:w="5768"/>
      </w:tblGrid>
      <w:tr w:rsidR="006625A4" w:rsidRPr="00BD6127" w14:paraId="37B83672" w14:textId="77777777" w:rsidTr="00A45D31">
        <w:trPr>
          <w:trHeight w:val="300"/>
        </w:trPr>
        <w:tc>
          <w:tcPr>
            <w:tcW w:w="3964" w:type="dxa"/>
            <w:tcBorders>
              <w:top w:val="single" w:sz="8" w:space="0" w:color="auto"/>
              <w:left w:val="single" w:sz="4" w:space="0" w:color="auto"/>
              <w:bottom w:val="single" w:sz="8" w:space="0" w:color="auto"/>
              <w:right w:val="single" w:sz="8" w:space="0" w:color="auto"/>
            </w:tcBorders>
            <w:vAlign w:val="center"/>
            <w:hideMark/>
          </w:tcPr>
          <w:p w14:paraId="5C16F367" w14:textId="77777777" w:rsidR="006625A4" w:rsidRPr="00BD6127" w:rsidRDefault="006625A4" w:rsidP="00A45D31">
            <w:pPr>
              <w:jc w:val="both"/>
              <w:rPr>
                <w:rFonts w:ascii="Times New Roman" w:hAnsi="Times New Roman"/>
                <w:b/>
                <w:bCs/>
                <w:color w:val="000000"/>
                <w:sz w:val="24"/>
                <w:szCs w:val="24"/>
                <w:lang w:val="en-GB"/>
              </w:rPr>
            </w:pPr>
            <w:r>
              <w:rPr>
                <w:rFonts w:ascii="Times New Roman" w:hAnsi="Times New Roman"/>
                <w:b/>
                <w:bCs/>
                <w:color w:val="000000"/>
                <w:sz w:val="24"/>
                <w:szCs w:val="24"/>
                <w:lang w:val="en-GB"/>
              </w:rPr>
              <w:t>Fraud origin</w:t>
            </w:r>
            <w:bookmarkStart w:id="51" w:name="_Ref78797713"/>
            <w:r w:rsidRPr="00BD6127">
              <w:rPr>
                <w:rStyle w:val="FootnoteReference"/>
                <w:rFonts w:ascii="Times New Roman" w:hAnsi="Times New Roman"/>
                <w:b/>
                <w:bCs/>
                <w:color w:val="000000"/>
                <w:sz w:val="24"/>
                <w:szCs w:val="24"/>
                <w:lang w:val="en-GB"/>
              </w:rPr>
              <w:footnoteReference w:id="93"/>
            </w:r>
            <w:bookmarkEnd w:id="51"/>
          </w:p>
        </w:tc>
        <w:tc>
          <w:tcPr>
            <w:tcW w:w="5768" w:type="dxa"/>
            <w:tcBorders>
              <w:top w:val="single" w:sz="8" w:space="0" w:color="auto"/>
              <w:left w:val="single" w:sz="4" w:space="0" w:color="auto"/>
              <w:bottom w:val="single" w:sz="8" w:space="0" w:color="auto"/>
              <w:right w:val="single" w:sz="8" w:space="0" w:color="auto"/>
            </w:tcBorders>
          </w:tcPr>
          <w:p w14:paraId="7784AB9A" w14:textId="77777777" w:rsidR="006625A4" w:rsidRPr="00BD6127" w:rsidRDefault="006625A4" w:rsidP="00A45D31">
            <w:pPr>
              <w:jc w:val="both"/>
              <w:rPr>
                <w:rFonts w:ascii="Times New Roman" w:hAnsi="Times New Roman"/>
                <w:b/>
                <w:bCs/>
                <w:color w:val="000000"/>
                <w:sz w:val="24"/>
                <w:szCs w:val="24"/>
                <w:lang w:val="en-GB"/>
              </w:rPr>
            </w:pPr>
          </w:p>
        </w:tc>
      </w:tr>
      <w:tr w:rsidR="006625A4" w:rsidRPr="00F53249" w14:paraId="68FBAF3C" w14:textId="77777777" w:rsidTr="00A45D31">
        <w:trPr>
          <w:trHeight w:val="290"/>
        </w:trPr>
        <w:tc>
          <w:tcPr>
            <w:tcW w:w="3964" w:type="dxa"/>
            <w:tcBorders>
              <w:top w:val="nil"/>
              <w:left w:val="single" w:sz="4" w:space="0" w:color="auto"/>
              <w:bottom w:val="single" w:sz="4" w:space="0" w:color="auto"/>
              <w:right w:val="single" w:sz="8" w:space="0" w:color="auto"/>
            </w:tcBorders>
            <w:noWrap/>
            <w:vAlign w:val="center"/>
            <w:hideMark/>
          </w:tcPr>
          <w:p w14:paraId="310D84DD" w14:textId="77777777" w:rsidR="006625A4" w:rsidRPr="00BD6127" w:rsidRDefault="006625A4" w:rsidP="00A45D31">
            <w:pPr>
              <w:spacing w:after="120" w:line="360" w:lineRule="auto"/>
              <w:jc w:val="both"/>
              <w:rPr>
                <w:rFonts w:ascii="Times New Roman" w:hAnsi="Times New Roman"/>
                <w:sz w:val="24"/>
                <w:szCs w:val="24"/>
                <w:lang w:val="en-GB"/>
              </w:rPr>
            </w:pPr>
            <w:r w:rsidRPr="00BD6127">
              <w:rPr>
                <w:rFonts w:ascii="Times New Roman" w:hAnsi="Times New Roman"/>
                <w:sz w:val="24"/>
                <w:szCs w:val="24"/>
                <w:lang w:val="en-GB"/>
              </w:rPr>
              <w:t>Issuance of a payment order by the fraudster</w:t>
            </w:r>
            <w:r>
              <w:rPr>
                <w:rStyle w:val="FootnoteReference"/>
                <w:rFonts w:ascii="Times New Roman" w:hAnsi="Times New Roman"/>
                <w:sz w:val="24"/>
                <w:szCs w:val="24"/>
                <w:lang w:val="en-GB"/>
              </w:rPr>
              <w:footnoteReference w:id="94"/>
            </w:r>
          </w:p>
        </w:tc>
        <w:tc>
          <w:tcPr>
            <w:tcW w:w="5768" w:type="dxa"/>
            <w:tcBorders>
              <w:top w:val="nil"/>
              <w:left w:val="single" w:sz="4" w:space="0" w:color="auto"/>
              <w:bottom w:val="single" w:sz="4" w:space="0" w:color="auto"/>
              <w:right w:val="single" w:sz="8" w:space="0" w:color="auto"/>
            </w:tcBorders>
          </w:tcPr>
          <w:p w14:paraId="6EAED6C4" w14:textId="77777777" w:rsidR="006625A4" w:rsidRPr="00BD6127" w:rsidRDefault="006625A4" w:rsidP="00A45D31">
            <w:pPr>
              <w:spacing w:after="120" w:line="360" w:lineRule="auto"/>
              <w:jc w:val="both"/>
              <w:rPr>
                <w:rFonts w:ascii="Times New Roman" w:hAnsi="Times New Roman"/>
                <w:sz w:val="24"/>
                <w:szCs w:val="24"/>
                <w:lang w:val="en-GB"/>
              </w:rPr>
            </w:pPr>
            <w:r w:rsidRPr="00BD6127">
              <w:rPr>
                <w:rFonts w:ascii="Times New Roman" w:hAnsi="Times New Roman"/>
                <w:sz w:val="24"/>
                <w:szCs w:val="24"/>
                <w:lang w:val="en-GB"/>
              </w:rPr>
              <w:t xml:space="preserve">This fraud </w:t>
            </w:r>
            <w:r w:rsidRPr="00CA017B">
              <w:rPr>
                <w:rFonts w:ascii="Times New Roman" w:hAnsi="Times New Roman"/>
                <w:sz w:val="24"/>
                <w:szCs w:val="24"/>
                <w:lang w:val="en-GB"/>
              </w:rPr>
              <w:t>origin</w:t>
            </w:r>
            <w:r>
              <w:rPr>
                <w:rFonts w:ascii="Times New Roman" w:hAnsi="Times New Roman"/>
                <w:sz w:val="24"/>
                <w:szCs w:val="24"/>
                <w:lang w:val="en-GB"/>
              </w:rPr>
              <w:t xml:space="preserve"> </w:t>
            </w:r>
            <w:r w:rsidRPr="00BD6127">
              <w:rPr>
                <w:rFonts w:ascii="Times New Roman" w:hAnsi="Times New Roman"/>
                <w:sz w:val="24"/>
                <w:szCs w:val="24"/>
                <w:lang w:val="en-GB"/>
              </w:rPr>
              <w:t>is relevant to credit transfers, card-based payment transactions, cash withdrawals and e-money payment transactions.</w:t>
            </w:r>
          </w:p>
          <w:p w14:paraId="44721E28" w14:textId="77777777" w:rsidR="006625A4" w:rsidRPr="00BD6127" w:rsidRDefault="006625A4" w:rsidP="00A45D31">
            <w:p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This category can be further broken down into the following mutually exclusive subcategories depending on the type of payment service. </w:t>
            </w:r>
            <w:r w:rsidRPr="00BD6127">
              <w:rPr>
                <w:rFonts w:ascii="Times New Roman" w:hAnsi="Times New Roman"/>
                <w:sz w:val="24"/>
                <w:szCs w:val="24"/>
                <w:lang w:val="en-GB"/>
              </w:rPr>
              <w:t>‘</w:t>
            </w:r>
            <w:r>
              <w:rPr>
                <w:rFonts w:ascii="Times New Roman" w:hAnsi="Times New Roman"/>
                <w:sz w:val="24"/>
                <w:szCs w:val="24"/>
                <w:lang w:val="en-GB"/>
              </w:rPr>
              <w:t>L</w:t>
            </w:r>
            <w:r w:rsidRPr="00BD6127">
              <w:rPr>
                <w:rFonts w:ascii="Times New Roman" w:hAnsi="Times New Roman"/>
                <w:sz w:val="24"/>
                <w:szCs w:val="24"/>
                <w:lang w:val="en-GB"/>
              </w:rPr>
              <w:t>ost or stolen card’, ‘</w:t>
            </w:r>
            <w:r>
              <w:rPr>
                <w:rFonts w:ascii="Times New Roman" w:hAnsi="Times New Roman"/>
                <w:sz w:val="24"/>
                <w:szCs w:val="24"/>
                <w:lang w:val="en-GB"/>
              </w:rPr>
              <w:t>C</w:t>
            </w:r>
            <w:r w:rsidRPr="00BD6127">
              <w:rPr>
                <w:rFonts w:ascii="Times New Roman" w:hAnsi="Times New Roman"/>
                <w:sz w:val="24"/>
                <w:szCs w:val="24"/>
                <w:lang w:val="en-GB"/>
              </w:rPr>
              <w:t>ard not received’, ‘</w:t>
            </w:r>
            <w:r>
              <w:rPr>
                <w:rFonts w:ascii="Times New Roman" w:hAnsi="Times New Roman"/>
                <w:sz w:val="24"/>
                <w:szCs w:val="24"/>
                <w:lang w:val="en-GB"/>
              </w:rPr>
              <w:t>C</w:t>
            </w:r>
            <w:r w:rsidRPr="00BD6127">
              <w:rPr>
                <w:rFonts w:ascii="Times New Roman" w:hAnsi="Times New Roman"/>
                <w:sz w:val="24"/>
                <w:szCs w:val="24"/>
                <w:lang w:val="en-GB"/>
              </w:rPr>
              <w:t>oun</w:t>
            </w:r>
            <w:r>
              <w:rPr>
                <w:rFonts w:ascii="Times New Roman" w:hAnsi="Times New Roman"/>
                <w:sz w:val="24"/>
                <w:szCs w:val="24"/>
                <w:lang w:val="en-GB"/>
              </w:rPr>
              <w:t>terfeit card’</w:t>
            </w:r>
            <w:r>
              <w:rPr>
                <w:rStyle w:val="FootnoteReference"/>
                <w:rFonts w:ascii="Times New Roman" w:hAnsi="Times New Roman"/>
                <w:sz w:val="24"/>
                <w:szCs w:val="24"/>
                <w:lang w:val="en-GB"/>
              </w:rPr>
              <w:footnoteReference w:id="95"/>
            </w:r>
            <w:r>
              <w:rPr>
                <w:rFonts w:ascii="Times New Roman" w:hAnsi="Times New Roman"/>
                <w:sz w:val="24"/>
                <w:szCs w:val="24"/>
                <w:lang w:val="en-GB"/>
              </w:rPr>
              <w:t>, ‘Card details theft’</w:t>
            </w:r>
            <w:r>
              <w:rPr>
                <w:rStyle w:val="FootnoteReference"/>
                <w:rFonts w:ascii="Times New Roman" w:hAnsi="Times New Roman"/>
                <w:sz w:val="24"/>
                <w:szCs w:val="24"/>
                <w:lang w:val="en-GB"/>
              </w:rPr>
              <w:footnoteReference w:id="96"/>
            </w:r>
            <w:r>
              <w:rPr>
                <w:rFonts w:ascii="Times New Roman" w:hAnsi="Times New Roman"/>
                <w:sz w:val="24"/>
                <w:szCs w:val="24"/>
                <w:lang w:val="en-GB"/>
              </w:rPr>
              <w:t>, ‘O</w:t>
            </w:r>
            <w:r w:rsidRPr="00BD6127">
              <w:rPr>
                <w:rFonts w:ascii="Times New Roman" w:hAnsi="Times New Roman"/>
                <w:sz w:val="24"/>
                <w:szCs w:val="24"/>
                <w:lang w:val="en-GB"/>
              </w:rPr>
              <w:t>ther’</w:t>
            </w:r>
            <w:r>
              <w:rPr>
                <w:rFonts w:ascii="Times New Roman" w:hAnsi="Times New Roman"/>
                <w:sz w:val="24"/>
                <w:szCs w:val="24"/>
                <w:lang w:val="en-GB"/>
              </w:rPr>
              <w:t xml:space="preserve"> and ‘Unauthorised e-money account transactions’</w:t>
            </w:r>
            <w:r w:rsidRPr="00BD6127">
              <w:rPr>
                <w:rFonts w:ascii="Times New Roman" w:hAnsi="Times New Roman"/>
                <w:sz w:val="24"/>
                <w:szCs w:val="24"/>
                <w:lang w:val="en-GB"/>
              </w:rPr>
              <w:t>.</w:t>
            </w:r>
          </w:p>
        </w:tc>
      </w:tr>
      <w:tr w:rsidR="006625A4" w:rsidRPr="00F53249" w14:paraId="51E7E27F" w14:textId="77777777" w:rsidTr="00A45D31">
        <w:trPr>
          <w:trHeight w:val="290"/>
        </w:trPr>
        <w:tc>
          <w:tcPr>
            <w:tcW w:w="3964" w:type="dxa"/>
            <w:tcBorders>
              <w:top w:val="nil"/>
              <w:left w:val="single" w:sz="4" w:space="0" w:color="auto"/>
              <w:bottom w:val="single" w:sz="4" w:space="0" w:color="auto"/>
              <w:right w:val="single" w:sz="8" w:space="0" w:color="auto"/>
            </w:tcBorders>
            <w:noWrap/>
            <w:vAlign w:val="center"/>
            <w:hideMark/>
          </w:tcPr>
          <w:p w14:paraId="1A7E6E4F" w14:textId="77777777" w:rsidR="006625A4" w:rsidRPr="00BD6127" w:rsidRDefault="006625A4" w:rsidP="00A45D31">
            <w:pPr>
              <w:spacing w:after="120" w:line="360" w:lineRule="auto"/>
              <w:jc w:val="both"/>
              <w:rPr>
                <w:rFonts w:ascii="Times New Roman" w:hAnsi="Times New Roman"/>
                <w:sz w:val="24"/>
                <w:szCs w:val="24"/>
                <w:lang w:val="en-GB"/>
              </w:rPr>
            </w:pPr>
            <w:r w:rsidRPr="00BD6127">
              <w:rPr>
                <w:rFonts w:ascii="Times New Roman" w:hAnsi="Times New Roman"/>
                <w:sz w:val="24"/>
                <w:szCs w:val="24"/>
                <w:lang w:val="en-GB"/>
              </w:rPr>
              <w:t>Modification of a payment order by the fraudster</w:t>
            </w:r>
            <w:r>
              <w:rPr>
                <w:rStyle w:val="FootnoteReference"/>
                <w:rFonts w:ascii="Times New Roman" w:hAnsi="Times New Roman"/>
                <w:sz w:val="24"/>
                <w:szCs w:val="24"/>
                <w:lang w:val="en-GB"/>
              </w:rPr>
              <w:footnoteReference w:id="97"/>
            </w:r>
          </w:p>
        </w:tc>
        <w:tc>
          <w:tcPr>
            <w:tcW w:w="5768" w:type="dxa"/>
            <w:tcBorders>
              <w:top w:val="nil"/>
              <w:left w:val="single" w:sz="4" w:space="0" w:color="auto"/>
              <w:bottom w:val="single" w:sz="4" w:space="0" w:color="auto"/>
              <w:right w:val="single" w:sz="8" w:space="0" w:color="auto"/>
            </w:tcBorders>
          </w:tcPr>
          <w:p w14:paraId="7F5A9A8C" w14:textId="77777777" w:rsidR="006625A4" w:rsidRPr="00BD6127" w:rsidRDefault="006625A4" w:rsidP="00A45D31">
            <w:pPr>
              <w:spacing w:after="120" w:line="360" w:lineRule="auto"/>
              <w:jc w:val="both"/>
              <w:rPr>
                <w:rFonts w:ascii="Times New Roman" w:hAnsi="Times New Roman"/>
                <w:sz w:val="24"/>
                <w:szCs w:val="24"/>
                <w:lang w:val="en-GB"/>
              </w:rPr>
            </w:pPr>
            <w:r w:rsidRPr="00BD6127">
              <w:rPr>
                <w:rFonts w:ascii="Times New Roman" w:hAnsi="Times New Roman"/>
                <w:sz w:val="24"/>
                <w:szCs w:val="24"/>
                <w:lang w:val="en-GB"/>
              </w:rPr>
              <w:t xml:space="preserve">This fraud </w:t>
            </w:r>
            <w:r>
              <w:rPr>
                <w:rFonts w:ascii="Times New Roman" w:hAnsi="Times New Roman"/>
                <w:sz w:val="24"/>
                <w:szCs w:val="24"/>
                <w:lang w:val="en-GB"/>
              </w:rPr>
              <w:t>origin</w:t>
            </w:r>
            <w:r w:rsidRPr="00BD6127">
              <w:rPr>
                <w:rFonts w:ascii="Times New Roman" w:hAnsi="Times New Roman"/>
                <w:sz w:val="24"/>
                <w:szCs w:val="24"/>
                <w:lang w:val="en-GB"/>
              </w:rPr>
              <w:t xml:space="preserve"> is relevant </w:t>
            </w:r>
            <w:r>
              <w:rPr>
                <w:rFonts w:ascii="Times New Roman" w:hAnsi="Times New Roman"/>
                <w:sz w:val="24"/>
                <w:szCs w:val="24"/>
                <w:lang w:val="en-GB"/>
              </w:rPr>
              <w:t>to</w:t>
            </w:r>
            <w:r w:rsidRPr="00BD6127">
              <w:rPr>
                <w:rFonts w:ascii="Times New Roman" w:hAnsi="Times New Roman"/>
                <w:sz w:val="24"/>
                <w:szCs w:val="24"/>
                <w:lang w:val="en-GB"/>
              </w:rPr>
              <w:t xml:space="preserve"> credit transfers, card-based payment transactions and e-money payment transactions.</w:t>
            </w:r>
          </w:p>
        </w:tc>
      </w:tr>
      <w:tr w:rsidR="006625A4" w:rsidRPr="00F53249" w14:paraId="509E041A" w14:textId="77777777" w:rsidTr="00A45D31">
        <w:trPr>
          <w:trHeight w:val="290"/>
        </w:trPr>
        <w:tc>
          <w:tcPr>
            <w:tcW w:w="3964" w:type="dxa"/>
            <w:tcBorders>
              <w:top w:val="nil"/>
              <w:left w:val="single" w:sz="4" w:space="0" w:color="auto"/>
              <w:bottom w:val="single" w:sz="4" w:space="0" w:color="auto"/>
              <w:right w:val="single" w:sz="8" w:space="0" w:color="auto"/>
            </w:tcBorders>
            <w:noWrap/>
            <w:vAlign w:val="center"/>
            <w:hideMark/>
          </w:tcPr>
          <w:p w14:paraId="47E902DE" w14:textId="77777777" w:rsidR="006625A4" w:rsidRPr="00BD6127" w:rsidRDefault="006625A4" w:rsidP="00A45D31">
            <w:pPr>
              <w:spacing w:after="120" w:line="360" w:lineRule="auto"/>
              <w:jc w:val="both"/>
              <w:rPr>
                <w:rFonts w:ascii="Times New Roman" w:hAnsi="Times New Roman"/>
                <w:sz w:val="24"/>
                <w:szCs w:val="24"/>
                <w:lang w:val="en-GB"/>
              </w:rPr>
            </w:pPr>
            <w:r w:rsidRPr="00BD6127">
              <w:rPr>
                <w:rFonts w:ascii="Times New Roman" w:hAnsi="Times New Roman"/>
                <w:sz w:val="24"/>
                <w:szCs w:val="24"/>
                <w:lang w:val="en-GB"/>
              </w:rPr>
              <w:t>Manipulation of the payer by the fraudster to issue a payment order</w:t>
            </w:r>
            <w:r>
              <w:rPr>
                <w:rStyle w:val="FootnoteReference"/>
                <w:rFonts w:ascii="Times New Roman" w:hAnsi="Times New Roman"/>
                <w:sz w:val="24"/>
                <w:szCs w:val="24"/>
                <w:lang w:val="en-GB"/>
              </w:rPr>
              <w:footnoteReference w:id="98"/>
            </w:r>
          </w:p>
        </w:tc>
        <w:tc>
          <w:tcPr>
            <w:tcW w:w="5768" w:type="dxa"/>
            <w:tcBorders>
              <w:top w:val="nil"/>
              <w:left w:val="single" w:sz="4" w:space="0" w:color="auto"/>
              <w:bottom w:val="single" w:sz="4" w:space="0" w:color="auto"/>
              <w:right w:val="single" w:sz="8" w:space="0" w:color="auto"/>
            </w:tcBorders>
          </w:tcPr>
          <w:p w14:paraId="511FEB98" w14:textId="77777777" w:rsidR="006625A4" w:rsidRPr="00BD6127" w:rsidRDefault="006625A4" w:rsidP="00A45D31">
            <w:pPr>
              <w:spacing w:after="120" w:line="360" w:lineRule="auto"/>
              <w:jc w:val="both"/>
              <w:rPr>
                <w:rFonts w:ascii="Times New Roman" w:hAnsi="Times New Roman"/>
                <w:sz w:val="24"/>
                <w:szCs w:val="24"/>
                <w:lang w:val="en-GB"/>
              </w:rPr>
            </w:pPr>
            <w:r w:rsidRPr="00BD6127">
              <w:rPr>
                <w:rFonts w:ascii="Times New Roman" w:hAnsi="Times New Roman"/>
                <w:sz w:val="24"/>
                <w:szCs w:val="24"/>
                <w:lang w:val="en-GB"/>
              </w:rPr>
              <w:t xml:space="preserve">This fraud </w:t>
            </w:r>
            <w:r>
              <w:rPr>
                <w:rFonts w:ascii="Times New Roman" w:hAnsi="Times New Roman"/>
                <w:sz w:val="24"/>
                <w:szCs w:val="24"/>
                <w:lang w:val="en-GB"/>
              </w:rPr>
              <w:t>origin</w:t>
            </w:r>
            <w:r w:rsidRPr="00BD6127">
              <w:rPr>
                <w:rFonts w:ascii="Times New Roman" w:hAnsi="Times New Roman"/>
                <w:sz w:val="24"/>
                <w:szCs w:val="24"/>
                <w:lang w:val="en-GB"/>
              </w:rPr>
              <w:t xml:space="preserve"> is relevant </w:t>
            </w:r>
            <w:r>
              <w:rPr>
                <w:rFonts w:ascii="Times New Roman" w:hAnsi="Times New Roman"/>
                <w:sz w:val="24"/>
                <w:szCs w:val="24"/>
                <w:lang w:val="en-GB"/>
              </w:rPr>
              <w:t>to</w:t>
            </w:r>
            <w:r w:rsidRPr="00BD6127">
              <w:rPr>
                <w:rFonts w:ascii="Times New Roman" w:hAnsi="Times New Roman"/>
                <w:sz w:val="24"/>
                <w:szCs w:val="24"/>
                <w:lang w:val="en-GB"/>
              </w:rPr>
              <w:t xml:space="preserve"> credit transfers, direct debits, card-based payment transactions, cash withdrawals and e-money payment transactions.</w:t>
            </w:r>
          </w:p>
        </w:tc>
      </w:tr>
      <w:tr w:rsidR="006625A4" w:rsidRPr="00F53249" w14:paraId="4BC4DED8" w14:textId="77777777" w:rsidTr="00A45D31">
        <w:trPr>
          <w:trHeight w:val="290"/>
        </w:trPr>
        <w:tc>
          <w:tcPr>
            <w:tcW w:w="3964" w:type="dxa"/>
            <w:tcBorders>
              <w:top w:val="nil"/>
              <w:left w:val="single" w:sz="4" w:space="0" w:color="auto"/>
              <w:bottom w:val="single" w:sz="4" w:space="0" w:color="auto"/>
              <w:right w:val="single" w:sz="8" w:space="0" w:color="auto"/>
            </w:tcBorders>
            <w:noWrap/>
            <w:vAlign w:val="center"/>
            <w:hideMark/>
          </w:tcPr>
          <w:p w14:paraId="59104A23" w14:textId="77777777" w:rsidR="006625A4" w:rsidRPr="00BD6127" w:rsidRDefault="006625A4" w:rsidP="00A45D31">
            <w:pPr>
              <w:spacing w:after="120" w:line="360" w:lineRule="auto"/>
              <w:jc w:val="both"/>
              <w:rPr>
                <w:rFonts w:ascii="Times New Roman" w:hAnsi="Times New Roman"/>
                <w:sz w:val="24"/>
                <w:szCs w:val="24"/>
                <w:lang w:val="en-GB"/>
              </w:rPr>
            </w:pPr>
            <w:r w:rsidRPr="00BD6127">
              <w:rPr>
                <w:rFonts w:ascii="Times New Roman" w:hAnsi="Times New Roman"/>
                <w:sz w:val="24"/>
                <w:szCs w:val="24"/>
                <w:lang w:val="en-GB"/>
              </w:rPr>
              <w:lastRenderedPageBreak/>
              <w:t>Unauthorised payment transaction</w:t>
            </w:r>
            <w:r>
              <w:rPr>
                <w:rStyle w:val="FootnoteReference"/>
                <w:rFonts w:ascii="Times New Roman" w:hAnsi="Times New Roman"/>
                <w:sz w:val="24"/>
                <w:szCs w:val="24"/>
                <w:lang w:val="en-GB"/>
              </w:rPr>
              <w:footnoteReference w:id="99"/>
            </w:r>
          </w:p>
        </w:tc>
        <w:tc>
          <w:tcPr>
            <w:tcW w:w="5768" w:type="dxa"/>
            <w:tcBorders>
              <w:top w:val="nil"/>
              <w:left w:val="single" w:sz="4" w:space="0" w:color="auto"/>
              <w:bottom w:val="single" w:sz="4" w:space="0" w:color="auto"/>
              <w:right w:val="single" w:sz="8" w:space="0" w:color="auto"/>
            </w:tcBorders>
          </w:tcPr>
          <w:p w14:paraId="60F901BF" w14:textId="77777777" w:rsidR="006625A4" w:rsidRPr="00BD6127" w:rsidRDefault="006625A4" w:rsidP="00A45D31">
            <w:pPr>
              <w:spacing w:after="120" w:line="360" w:lineRule="auto"/>
              <w:jc w:val="both"/>
              <w:rPr>
                <w:rFonts w:ascii="Times New Roman" w:hAnsi="Times New Roman"/>
                <w:sz w:val="24"/>
                <w:szCs w:val="24"/>
                <w:lang w:val="en-GB"/>
              </w:rPr>
            </w:pPr>
            <w:r w:rsidRPr="00BD6127">
              <w:rPr>
                <w:rFonts w:ascii="Times New Roman" w:hAnsi="Times New Roman"/>
                <w:sz w:val="24"/>
                <w:szCs w:val="24"/>
                <w:lang w:val="en-GB"/>
              </w:rPr>
              <w:t xml:space="preserve">This fraud </w:t>
            </w:r>
            <w:r>
              <w:rPr>
                <w:rFonts w:ascii="Times New Roman" w:hAnsi="Times New Roman"/>
                <w:sz w:val="24"/>
                <w:szCs w:val="24"/>
                <w:lang w:val="en-GB"/>
              </w:rPr>
              <w:t>origin</w:t>
            </w:r>
            <w:r w:rsidRPr="00BD6127">
              <w:rPr>
                <w:rFonts w:ascii="Times New Roman" w:hAnsi="Times New Roman"/>
                <w:sz w:val="24"/>
                <w:szCs w:val="24"/>
                <w:lang w:val="en-GB"/>
              </w:rPr>
              <w:t xml:space="preserve"> is relevant for direct debits and e-money account transactions.</w:t>
            </w:r>
          </w:p>
        </w:tc>
      </w:tr>
    </w:tbl>
    <w:p w14:paraId="5AA5D1DE" w14:textId="77777777" w:rsidR="006625A4" w:rsidRDefault="006625A4" w:rsidP="006625A4">
      <w:pPr>
        <w:spacing w:after="160" w:line="259" w:lineRule="auto"/>
        <w:rPr>
          <w:rFonts w:ascii="Times New Roman" w:eastAsiaTheme="majorEastAsia" w:hAnsi="Times New Roman"/>
          <w:color w:val="003199"/>
          <w:sz w:val="24"/>
          <w:szCs w:val="24"/>
          <w:lang w:val="en-GB"/>
        </w:rPr>
      </w:pPr>
    </w:p>
    <w:p w14:paraId="0307414C" w14:textId="77777777" w:rsidR="00D161AD" w:rsidRPr="002A65F9" w:rsidRDefault="00D161AD" w:rsidP="00D161AD">
      <w:pPr>
        <w:pStyle w:val="Heading2"/>
        <w:numPr>
          <w:ilvl w:val="0"/>
          <w:numId w:val="0"/>
        </w:numPr>
        <w:rPr>
          <w:rFonts w:ascii="Times New Roman" w:hAnsi="Times New Roman" w:cs="Times New Roman"/>
          <w:color w:val="003199"/>
          <w:u w:val="single"/>
          <w:lang w:val="en-GB"/>
        </w:rPr>
      </w:pPr>
      <w:bookmarkStart w:id="52" w:name="_Toc221126454"/>
      <w:r w:rsidRPr="002A65F9">
        <w:rPr>
          <w:rFonts w:ascii="Times New Roman" w:hAnsi="Times New Roman" w:cs="Times New Roman"/>
          <w:color w:val="003199"/>
          <w:u w:val="single"/>
          <w:lang w:val="en-GB"/>
        </w:rPr>
        <w:t>Quarterly reporting</w:t>
      </w:r>
      <w:bookmarkEnd w:id="52"/>
    </w:p>
    <w:p w14:paraId="4860A0FA" w14:textId="450CDCE9" w:rsidR="0013105F" w:rsidRDefault="0013105F" w:rsidP="0013105F">
      <w:pPr>
        <w:spacing w:before="60" w:after="12" w:line="360" w:lineRule="auto"/>
        <w:jc w:val="both"/>
        <w:rPr>
          <w:rFonts w:ascii="Times New Roman" w:hAnsi="Times New Roman"/>
          <w:sz w:val="24"/>
          <w:szCs w:val="24"/>
          <w:lang w:val="en-GB"/>
        </w:rPr>
      </w:pPr>
      <w:r w:rsidRPr="00760F3B">
        <w:rPr>
          <w:rFonts w:ascii="Times New Roman" w:hAnsi="Times New Roman"/>
          <w:sz w:val="24"/>
          <w:szCs w:val="24"/>
          <w:lang w:val="en-GB"/>
        </w:rPr>
        <w:t xml:space="preserve">The </w:t>
      </w:r>
      <w:r>
        <w:rPr>
          <w:rFonts w:ascii="Times New Roman" w:hAnsi="Times New Roman"/>
          <w:sz w:val="24"/>
          <w:szCs w:val="24"/>
          <w:lang w:val="en-GB"/>
        </w:rPr>
        <w:t xml:space="preserve">quarterly reporting </w:t>
      </w:r>
      <w:r w:rsidR="006D3E84">
        <w:rPr>
          <w:rFonts w:ascii="Times New Roman" w:hAnsi="Times New Roman"/>
          <w:sz w:val="24"/>
          <w:szCs w:val="24"/>
          <w:lang w:val="en-GB"/>
        </w:rPr>
        <w:t>relates to</w:t>
      </w:r>
      <w:r>
        <w:rPr>
          <w:rFonts w:ascii="Times New Roman" w:hAnsi="Times New Roman"/>
          <w:sz w:val="24"/>
          <w:szCs w:val="24"/>
          <w:lang w:val="en-GB"/>
        </w:rPr>
        <w:t xml:space="preserve"> Table 9. </w:t>
      </w:r>
    </w:p>
    <w:p w14:paraId="5290E513" w14:textId="5261FF41" w:rsidR="000572F2" w:rsidRPr="006625A4" w:rsidRDefault="000572F2" w:rsidP="000572F2">
      <w:pPr>
        <w:pStyle w:val="Heading3"/>
        <w:numPr>
          <w:ilvl w:val="0"/>
          <w:numId w:val="36"/>
        </w:numPr>
        <w:rPr>
          <w:rFonts w:ascii="Times New Roman" w:hAnsi="Times New Roman" w:cs="Times New Roman"/>
          <w:b/>
          <w:lang w:val="en-GB"/>
        </w:rPr>
      </w:pPr>
      <w:bookmarkStart w:id="53" w:name="_Toc221126455"/>
      <w:r w:rsidRPr="000572F2">
        <w:rPr>
          <w:rFonts w:ascii="Times New Roman" w:hAnsi="Times New Roman" w:cs="Times New Roman"/>
          <w:b/>
          <w:lang w:val="en-GB"/>
        </w:rPr>
        <w:t>PAYSTS2_MASTER_TEMPLATE_QUARTER</w:t>
      </w:r>
      <w:bookmarkEnd w:id="53"/>
    </w:p>
    <w:p w14:paraId="3E0C82A5" w14:textId="77777777" w:rsidR="00D161AD" w:rsidRPr="004E34FF" w:rsidRDefault="00D161AD" w:rsidP="00F1044D">
      <w:pPr>
        <w:spacing w:line="240" w:lineRule="exact"/>
        <w:rPr>
          <w:color w:val="003199"/>
          <w:lang w:val="en-GB"/>
        </w:rPr>
      </w:pPr>
    </w:p>
    <w:p w14:paraId="00FCCD09" w14:textId="67627294" w:rsidR="00D83C90" w:rsidRPr="004E34FF" w:rsidRDefault="00D83C90" w:rsidP="000572F2">
      <w:pPr>
        <w:pStyle w:val="Heading4"/>
        <w:numPr>
          <w:ilvl w:val="0"/>
          <w:numId w:val="34"/>
        </w:numPr>
        <w:rPr>
          <w:rFonts w:ascii="Times New Roman" w:hAnsi="Times New Roman" w:cs="Times New Roman"/>
          <w:color w:val="003199"/>
          <w:lang w:val="en-GB"/>
        </w:rPr>
      </w:pPr>
      <w:r w:rsidRPr="004E34FF">
        <w:rPr>
          <w:rFonts w:ascii="Times New Roman" w:hAnsi="Times New Roman" w:cs="Times New Roman"/>
          <w:color w:val="003199"/>
          <w:lang w:val="en-GB"/>
        </w:rPr>
        <w:t>Table 9: Quarterly reporting of payment transactions involving non-MFIs</w:t>
      </w:r>
      <w:r w:rsidR="00D339E0" w:rsidRPr="00D339E0">
        <w:rPr>
          <w:rFonts w:ascii="Times New Roman" w:hAnsi="Times New Roman"/>
          <w:vertAlign w:val="superscript"/>
          <w:lang w:val="en-GB"/>
        </w:rPr>
        <w:fldChar w:fldCharType="begin"/>
      </w:r>
      <w:r w:rsidR="00D339E0" w:rsidRPr="00D339E0">
        <w:rPr>
          <w:rFonts w:ascii="Times New Roman" w:hAnsi="Times New Roman"/>
          <w:vertAlign w:val="superscript"/>
          <w:lang w:val="en-GB"/>
        </w:rPr>
        <w:instrText xml:space="preserve"> NOTEREF _Ref88719588 \h </w:instrText>
      </w:r>
      <w:r w:rsidR="00D339E0">
        <w:rPr>
          <w:rFonts w:ascii="Times New Roman" w:hAnsi="Times New Roman"/>
          <w:vertAlign w:val="superscript"/>
          <w:lang w:val="en-GB"/>
        </w:rPr>
        <w:instrText xml:space="preserve"> \* MERGEFORMAT </w:instrText>
      </w:r>
      <w:r w:rsidR="00D339E0" w:rsidRPr="00D339E0">
        <w:rPr>
          <w:rFonts w:ascii="Times New Roman" w:hAnsi="Times New Roman"/>
          <w:vertAlign w:val="superscript"/>
          <w:lang w:val="en-GB"/>
        </w:rPr>
      </w:r>
      <w:r w:rsidR="00D339E0" w:rsidRPr="00D339E0">
        <w:rPr>
          <w:rFonts w:ascii="Times New Roman" w:hAnsi="Times New Roman"/>
          <w:vertAlign w:val="superscript"/>
          <w:lang w:val="en-GB"/>
        </w:rPr>
        <w:fldChar w:fldCharType="separate"/>
      </w:r>
      <w:r w:rsidR="00F53249">
        <w:rPr>
          <w:rFonts w:ascii="Times New Roman" w:hAnsi="Times New Roman"/>
          <w:vertAlign w:val="superscript"/>
          <w:lang w:val="en-GB"/>
        </w:rPr>
        <w:t>2</w:t>
      </w:r>
      <w:r w:rsidR="00D339E0" w:rsidRPr="00D339E0">
        <w:rPr>
          <w:rFonts w:ascii="Times New Roman" w:hAnsi="Times New Roman"/>
          <w:vertAlign w:val="superscript"/>
          <w:lang w:val="en-GB"/>
        </w:rPr>
        <w:fldChar w:fldCharType="end"/>
      </w:r>
    </w:p>
    <w:p w14:paraId="7D52849E" w14:textId="4DE71517" w:rsidR="006D3E84" w:rsidRPr="003F100C" w:rsidRDefault="00D83C90" w:rsidP="006D3E84">
      <w:pPr>
        <w:spacing w:after="120" w:line="360" w:lineRule="auto"/>
        <w:jc w:val="both"/>
        <w:rPr>
          <w:rFonts w:ascii="Times New Roman" w:hAnsi="Times New Roman"/>
          <w:sz w:val="24"/>
          <w:szCs w:val="24"/>
          <w:lang w:val="en-GB"/>
        </w:rPr>
      </w:pPr>
      <w:r>
        <w:rPr>
          <w:rFonts w:ascii="Times New Roman" w:hAnsi="Times New Roman"/>
          <w:sz w:val="24"/>
          <w:szCs w:val="24"/>
          <w:lang w:val="en-GB"/>
        </w:rPr>
        <w:t>This table includes information on the n</w:t>
      </w:r>
      <w:r w:rsidRPr="00CA710A">
        <w:rPr>
          <w:rFonts w:ascii="Times New Roman" w:hAnsi="Times New Roman"/>
          <w:sz w:val="24"/>
          <w:szCs w:val="24"/>
          <w:lang w:val="en-GB"/>
        </w:rPr>
        <w:t xml:space="preserve">umber and value of payment transactions </w:t>
      </w:r>
      <w:r w:rsidRPr="004679B5">
        <w:rPr>
          <w:rFonts w:ascii="Times New Roman" w:hAnsi="Times New Roman"/>
          <w:b/>
          <w:color w:val="003199"/>
          <w:sz w:val="24"/>
          <w:szCs w:val="24"/>
          <w:lang w:val="en-GB"/>
        </w:rPr>
        <w:t xml:space="preserve">sent </w:t>
      </w:r>
      <w:r w:rsidRPr="00CA710A">
        <w:rPr>
          <w:rFonts w:ascii="Times New Roman" w:hAnsi="Times New Roman"/>
          <w:sz w:val="24"/>
          <w:szCs w:val="24"/>
          <w:lang w:val="en-GB"/>
        </w:rPr>
        <w:t>by non-MFIs. Transactions are compiled by payment service and initiation cha</w:t>
      </w:r>
      <w:r>
        <w:rPr>
          <w:rFonts w:ascii="Times New Roman" w:hAnsi="Times New Roman"/>
          <w:sz w:val="24"/>
          <w:szCs w:val="24"/>
          <w:lang w:val="en-GB"/>
        </w:rPr>
        <w:t xml:space="preserve">nnel. </w:t>
      </w:r>
      <w:r w:rsidR="006D3E84">
        <w:rPr>
          <w:rFonts w:ascii="Times New Roman" w:hAnsi="Times New Roman"/>
          <w:sz w:val="24"/>
          <w:szCs w:val="24"/>
          <w:lang w:val="en-GB"/>
        </w:rPr>
        <w:t>I</w:t>
      </w:r>
      <w:r w:rsidR="006D3E84" w:rsidRPr="00760F3B">
        <w:rPr>
          <w:rFonts w:ascii="Times New Roman" w:hAnsi="Times New Roman"/>
          <w:sz w:val="24"/>
          <w:szCs w:val="24"/>
          <w:lang w:val="en-GB"/>
        </w:rPr>
        <w:t xml:space="preserve">nformation is reported on a </w:t>
      </w:r>
      <w:r w:rsidR="006D3E84" w:rsidRPr="00760F3B">
        <w:rPr>
          <w:rFonts w:ascii="Times New Roman" w:hAnsi="Times New Roman"/>
          <w:b/>
          <w:color w:val="003199"/>
          <w:sz w:val="24"/>
          <w:szCs w:val="24"/>
          <w:lang w:val="en-GB"/>
        </w:rPr>
        <w:t>single country breakdown for all countries</w:t>
      </w:r>
      <w:r w:rsidR="006D3E84" w:rsidRPr="00760F3B">
        <w:rPr>
          <w:rFonts w:ascii="Times New Roman" w:hAnsi="Times New Roman"/>
          <w:sz w:val="24"/>
          <w:szCs w:val="24"/>
          <w:lang w:val="en-GB"/>
        </w:rPr>
        <w:t xml:space="preserve">. </w:t>
      </w:r>
      <w:r w:rsidR="00830213" w:rsidRPr="00830213">
        <w:rPr>
          <w:rFonts w:ascii="Times New Roman" w:hAnsi="Times New Roman"/>
          <w:sz w:val="24"/>
          <w:szCs w:val="24"/>
          <w:lang w:val="en-GB"/>
        </w:rPr>
        <w:t>For the transactions within territories not listed in the list</w:t>
      </w:r>
      <w:r w:rsidR="00830213">
        <w:rPr>
          <w:rStyle w:val="FootnoteReference"/>
          <w:rFonts w:ascii="Times New Roman" w:hAnsi="Times New Roman"/>
          <w:sz w:val="24"/>
          <w:szCs w:val="24"/>
          <w:lang w:val="en-GB"/>
        </w:rPr>
        <w:footnoteReference w:id="100"/>
      </w:r>
      <w:r w:rsidR="00830213" w:rsidRPr="00830213">
        <w:rPr>
          <w:rFonts w:ascii="Times New Roman" w:hAnsi="Times New Roman"/>
          <w:sz w:val="24"/>
          <w:szCs w:val="24"/>
          <w:lang w:val="en-GB"/>
        </w:rPr>
        <w:t>, you should select the code “D09 Extra-EU (changing composition) not allocated” territories.</w:t>
      </w:r>
      <w:r w:rsidR="00830213">
        <w:rPr>
          <w:rFonts w:ascii="Times New Roman" w:hAnsi="Times New Roman"/>
          <w:sz w:val="24"/>
          <w:szCs w:val="24"/>
          <w:lang w:val="en-GB"/>
        </w:rPr>
        <w:t xml:space="preserve"> </w:t>
      </w:r>
      <w:r w:rsidR="006D3E84" w:rsidRPr="006D3E84">
        <w:rPr>
          <w:rFonts w:ascii="Times New Roman" w:hAnsi="Times New Roman"/>
          <w:sz w:val="24"/>
          <w:szCs w:val="24"/>
          <w:lang w:val="en-GB"/>
        </w:rPr>
        <w:t>The geographical breakdown is based on the location of the counterparty</w:t>
      </w:r>
      <w:r w:rsidR="006D3E84">
        <w:rPr>
          <w:rFonts w:ascii="Times New Roman" w:hAnsi="Times New Roman"/>
          <w:sz w:val="24"/>
          <w:szCs w:val="24"/>
          <w:lang w:val="en-GB"/>
        </w:rPr>
        <w:t>, apart from</w:t>
      </w:r>
      <w:r w:rsidR="006D3E84" w:rsidRPr="0044732A">
        <w:rPr>
          <w:rFonts w:ascii="Times New Roman" w:hAnsi="Times New Roman"/>
          <w:sz w:val="24"/>
          <w:szCs w:val="24"/>
          <w:lang w:val="en-GB"/>
        </w:rPr>
        <w:t xml:space="preserve"> </w:t>
      </w:r>
      <w:r w:rsidR="006D3E84">
        <w:rPr>
          <w:rFonts w:ascii="Times New Roman" w:hAnsi="Times New Roman"/>
          <w:sz w:val="24"/>
          <w:szCs w:val="24"/>
          <w:lang w:val="en-GB"/>
        </w:rPr>
        <w:t>card-based payment transactions for which</w:t>
      </w:r>
      <w:r w:rsidR="006D3E84" w:rsidRPr="0044732A">
        <w:rPr>
          <w:rFonts w:ascii="Times New Roman" w:hAnsi="Times New Roman"/>
          <w:sz w:val="24"/>
          <w:szCs w:val="24"/>
          <w:lang w:val="en-GB"/>
        </w:rPr>
        <w:t xml:space="preserve"> the location of the POS</w:t>
      </w:r>
      <w:bookmarkStart w:id="54" w:name="_Ref76719857"/>
      <w:r w:rsidR="006D3E84" w:rsidRPr="0044732A">
        <w:rPr>
          <w:rStyle w:val="FootnoteReference"/>
          <w:rFonts w:ascii="Times New Roman" w:hAnsi="Times New Roman"/>
          <w:sz w:val="24"/>
          <w:szCs w:val="24"/>
          <w:lang w:val="en-GB"/>
        </w:rPr>
        <w:footnoteReference w:id="101"/>
      </w:r>
      <w:bookmarkEnd w:id="54"/>
      <w:r w:rsidR="006D3E84" w:rsidRPr="0044732A">
        <w:rPr>
          <w:rFonts w:ascii="Times New Roman" w:hAnsi="Times New Roman"/>
          <w:sz w:val="24"/>
          <w:szCs w:val="24"/>
          <w:lang w:val="en-GB"/>
        </w:rPr>
        <w:t xml:space="preserve"> and the merchant category code (MCC) are reported together.</w:t>
      </w:r>
      <w:r w:rsidR="006D3E84" w:rsidRPr="008A4B96">
        <w:rPr>
          <w:rFonts w:ascii="Times New Roman" w:hAnsi="Times New Roman"/>
          <w:sz w:val="24"/>
          <w:szCs w:val="24"/>
          <w:lang w:val="en-GB"/>
        </w:rPr>
        <w:t xml:space="preserve"> </w:t>
      </w:r>
      <w:r w:rsidR="006D3E84">
        <w:rPr>
          <w:rFonts w:ascii="Times New Roman" w:hAnsi="Times New Roman"/>
          <w:sz w:val="24"/>
          <w:szCs w:val="24"/>
          <w:lang w:val="en-GB"/>
        </w:rPr>
        <w:t>All MCC codes</w:t>
      </w:r>
      <w:r w:rsidR="00180D7F">
        <w:rPr>
          <w:rStyle w:val="FootnoteReference"/>
          <w:rFonts w:ascii="Times New Roman" w:hAnsi="Times New Roman"/>
          <w:sz w:val="24"/>
          <w:szCs w:val="24"/>
          <w:lang w:val="en-GB"/>
        </w:rPr>
        <w:footnoteReference w:id="102"/>
      </w:r>
      <w:r w:rsidR="006D3E84">
        <w:rPr>
          <w:rFonts w:ascii="Times New Roman" w:hAnsi="Times New Roman"/>
          <w:sz w:val="24"/>
          <w:szCs w:val="24"/>
          <w:lang w:val="en-GB"/>
        </w:rPr>
        <w:t xml:space="preserve"> are reported separately, apart from</w:t>
      </w:r>
      <w:r w:rsidR="006D3E84" w:rsidRPr="008A4B96">
        <w:rPr>
          <w:rFonts w:ascii="Times New Roman" w:hAnsi="Times New Roman"/>
          <w:sz w:val="24"/>
          <w:szCs w:val="24"/>
          <w:lang w:val="en-GB"/>
        </w:rPr>
        <w:t xml:space="preserve">, </w:t>
      </w:r>
      <w:r w:rsidR="006D3E84" w:rsidRPr="008A4B96">
        <w:rPr>
          <w:rFonts w:ascii="Times New Roman" w:hAnsi="Times New Roman"/>
          <w:b/>
          <w:color w:val="003199"/>
          <w:sz w:val="24"/>
          <w:szCs w:val="24"/>
          <w:lang w:val="en-GB"/>
        </w:rPr>
        <w:t xml:space="preserve">codes </w:t>
      </w:r>
      <w:r w:rsidR="006D3E84">
        <w:rPr>
          <w:rFonts w:ascii="Times New Roman" w:hAnsi="Times New Roman"/>
          <w:b/>
          <w:color w:val="003199"/>
          <w:sz w:val="24"/>
          <w:szCs w:val="24"/>
          <w:lang w:val="en-GB"/>
        </w:rPr>
        <w:t xml:space="preserve">related to </w:t>
      </w:r>
      <w:r w:rsidR="006D3E84" w:rsidRPr="008A4B96">
        <w:rPr>
          <w:rFonts w:ascii="Times New Roman" w:hAnsi="Times New Roman"/>
          <w:b/>
          <w:color w:val="003199"/>
          <w:sz w:val="24"/>
          <w:szCs w:val="24"/>
          <w:lang w:val="en-GB"/>
        </w:rPr>
        <w:t>airlines, car hire age</w:t>
      </w:r>
      <w:r w:rsidR="006D3E84">
        <w:rPr>
          <w:rFonts w:ascii="Times New Roman" w:hAnsi="Times New Roman"/>
          <w:b/>
          <w:color w:val="003199"/>
          <w:sz w:val="24"/>
          <w:szCs w:val="24"/>
          <w:lang w:val="en-GB"/>
        </w:rPr>
        <w:t>ncies and hotels which are aggregated</w:t>
      </w:r>
      <w:r w:rsidR="006D3E84" w:rsidRPr="008A4B96">
        <w:rPr>
          <w:rFonts w:ascii="Times New Roman" w:hAnsi="Times New Roman"/>
          <w:sz w:val="24"/>
          <w:szCs w:val="24"/>
          <w:lang w:val="en-GB"/>
        </w:rPr>
        <w:t>.</w:t>
      </w:r>
      <w:r w:rsidR="006D3E84">
        <w:rPr>
          <w:rFonts w:ascii="Times New Roman" w:hAnsi="Times New Roman"/>
          <w:sz w:val="24"/>
          <w:szCs w:val="24"/>
          <w:lang w:val="en-GB"/>
        </w:rPr>
        <w:t xml:space="preserve"> For</w:t>
      </w:r>
      <w:r w:rsidR="006D3E84" w:rsidRPr="003F100C">
        <w:rPr>
          <w:rFonts w:ascii="Times New Roman" w:hAnsi="Times New Roman"/>
          <w:sz w:val="24"/>
          <w:szCs w:val="24"/>
          <w:lang w:val="en-GB"/>
        </w:rPr>
        <w:t xml:space="preserve"> new or non-existent yet codes</w:t>
      </w:r>
      <w:r w:rsidR="006D3E84">
        <w:rPr>
          <w:rFonts w:ascii="Times New Roman" w:hAnsi="Times New Roman"/>
          <w:sz w:val="24"/>
          <w:szCs w:val="24"/>
          <w:lang w:val="en-GB"/>
        </w:rPr>
        <w:t>, the code ‘R999’</w:t>
      </w:r>
      <w:r w:rsidR="00180D7F">
        <w:rPr>
          <w:rFonts w:ascii="Times New Roman" w:hAnsi="Times New Roman"/>
          <w:sz w:val="24"/>
          <w:szCs w:val="24"/>
          <w:lang w:val="en-GB"/>
        </w:rPr>
        <w:t xml:space="preserve"> shall be used</w:t>
      </w:r>
      <w:r w:rsidR="006D3E84">
        <w:rPr>
          <w:rFonts w:ascii="Times New Roman" w:hAnsi="Times New Roman"/>
          <w:sz w:val="24"/>
          <w:szCs w:val="24"/>
          <w:lang w:val="en-GB"/>
        </w:rPr>
        <w:t>.</w:t>
      </w:r>
    </w:p>
    <w:p w14:paraId="1EEAADEE" w14:textId="43BFBFF5" w:rsidR="00417BF8" w:rsidRPr="00E81877" w:rsidRDefault="00D83C90" w:rsidP="00417BF8">
      <w:pPr>
        <w:spacing w:after="120" w:line="360" w:lineRule="auto"/>
        <w:jc w:val="both"/>
        <w:rPr>
          <w:rFonts w:ascii="Times New Roman" w:hAnsi="Times New Roman"/>
          <w:sz w:val="24"/>
          <w:szCs w:val="24"/>
          <w:u w:val="single"/>
          <w:lang w:val="en-GB"/>
        </w:rPr>
      </w:pPr>
      <w:r w:rsidRPr="0044732A">
        <w:rPr>
          <w:rFonts w:ascii="Times New Roman" w:hAnsi="Times New Roman"/>
          <w:sz w:val="24"/>
          <w:szCs w:val="24"/>
          <w:lang w:val="en-GB"/>
        </w:rPr>
        <w:t xml:space="preserve">The guidance and detailed description of the attributes included in </w:t>
      </w:r>
      <w:hyperlink w:anchor="_Table_4a:_Payment_1" w:history="1">
        <w:r w:rsidRPr="0044732A">
          <w:rPr>
            <w:rStyle w:val="Hyperlink"/>
            <w:rFonts w:ascii="Times New Roman" w:hAnsi="Times New Roman"/>
            <w:sz w:val="24"/>
            <w:szCs w:val="24"/>
            <w:lang w:val="en-GB"/>
          </w:rPr>
          <w:t>Table 4a</w:t>
        </w:r>
      </w:hyperlink>
      <w:r w:rsidRPr="0044732A">
        <w:rPr>
          <w:rFonts w:ascii="Times New Roman" w:hAnsi="Times New Roman"/>
          <w:sz w:val="24"/>
          <w:szCs w:val="24"/>
          <w:lang w:val="en-GB"/>
        </w:rPr>
        <w:t xml:space="preserve"> apply to the </w:t>
      </w:r>
      <w:r w:rsidR="001E322E">
        <w:rPr>
          <w:rFonts w:ascii="Times New Roman" w:hAnsi="Times New Roman"/>
          <w:sz w:val="24"/>
          <w:szCs w:val="24"/>
          <w:lang w:val="en-GB"/>
        </w:rPr>
        <w:t>quarterly reporting</w:t>
      </w:r>
      <w:r w:rsidRPr="0044732A">
        <w:rPr>
          <w:rFonts w:ascii="Times New Roman" w:hAnsi="Times New Roman"/>
          <w:sz w:val="24"/>
          <w:szCs w:val="24"/>
          <w:lang w:val="en-GB"/>
        </w:rPr>
        <w:t xml:space="preserve">. </w:t>
      </w:r>
      <w:r w:rsidR="00223490">
        <w:rPr>
          <w:rFonts w:ascii="Times New Roman" w:hAnsi="Times New Roman"/>
          <w:sz w:val="24"/>
          <w:szCs w:val="24"/>
          <w:lang w:val="en-GB"/>
        </w:rPr>
        <w:t xml:space="preserve">It is noted that under ‘Credit transfers (total)’, you should include </w:t>
      </w:r>
      <w:r w:rsidR="00EF2421">
        <w:rPr>
          <w:rFonts w:ascii="Times New Roman" w:hAnsi="Times New Roman"/>
          <w:sz w:val="24"/>
          <w:szCs w:val="24"/>
          <w:lang w:val="en-GB"/>
        </w:rPr>
        <w:t>all,</w:t>
      </w:r>
      <w:r w:rsidR="00223490">
        <w:rPr>
          <w:rFonts w:ascii="Times New Roman" w:hAnsi="Times New Roman"/>
          <w:sz w:val="24"/>
          <w:szCs w:val="24"/>
          <w:lang w:val="en-GB"/>
        </w:rPr>
        <w:t xml:space="preserve"> those ‘I</w:t>
      </w:r>
      <w:r w:rsidR="00223490" w:rsidRPr="00760F3B">
        <w:rPr>
          <w:rFonts w:ascii="Times New Roman" w:hAnsi="Times New Roman"/>
          <w:sz w:val="24"/>
          <w:szCs w:val="24"/>
          <w:lang w:val="en-GB"/>
        </w:rPr>
        <w:t>nitiated in paper-based form’</w:t>
      </w:r>
      <w:r w:rsidR="00223490" w:rsidRPr="00223490">
        <w:rPr>
          <w:rStyle w:val="FootnoteReference"/>
          <w:rFonts w:ascii="Times New Roman" w:hAnsi="Times New Roman"/>
          <w:sz w:val="24"/>
          <w:szCs w:val="24"/>
          <w:lang w:val="en-GB"/>
        </w:rPr>
        <w:fldChar w:fldCharType="begin"/>
      </w:r>
      <w:r w:rsidR="00223490" w:rsidRPr="00223490">
        <w:rPr>
          <w:rStyle w:val="FootnoteReference"/>
          <w:rFonts w:ascii="Times New Roman" w:hAnsi="Times New Roman"/>
          <w:sz w:val="24"/>
          <w:szCs w:val="24"/>
          <w:lang w:val="en-GB"/>
        </w:rPr>
        <w:instrText xml:space="preserve"> NOTEREF _Ref81893913 \h  \* MERGEFORMAT </w:instrText>
      </w:r>
      <w:r w:rsidR="00223490" w:rsidRPr="00223490">
        <w:rPr>
          <w:rStyle w:val="FootnoteReference"/>
          <w:rFonts w:ascii="Times New Roman" w:hAnsi="Times New Roman"/>
          <w:sz w:val="24"/>
          <w:szCs w:val="24"/>
          <w:lang w:val="en-GB"/>
        </w:rPr>
      </w:r>
      <w:r w:rsidR="00223490" w:rsidRPr="0022349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44</w:t>
      </w:r>
      <w:r w:rsidR="00223490" w:rsidRPr="00223490">
        <w:rPr>
          <w:rStyle w:val="FootnoteReference"/>
          <w:rFonts w:ascii="Times New Roman" w:hAnsi="Times New Roman"/>
          <w:sz w:val="24"/>
          <w:szCs w:val="24"/>
          <w:lang w:val="en-GB"/>
        </w:rPr>
        <w:fldChar w:fldCharType="end"/>
      </w:r>
      <w:r w:rsidR="00223490" w:rsidRPr="00223490">
        <w:rPr>
          <w:rStyle w:val="FootnoteReference"/>
          <w:sz w:val="24"/>
          <w:szCs w:val="24"/>
          <w:lang w:val="en-GB"/>
        </w:rPr>
        <w:t xml:space="preserve"> </w:t>
      </w:r>
      <w:r w:rsidR="00EF2421">
        <w:rPr>
          <w:sz w:val="24"/>
          <w:szCs w:val="24"/>
          <w:lang w:val="en-GB"/>
        </w:rPr>
        <w:t xml:space="preserve">, </w:t>
      </w:r>
      <w:r w:rsidR="00EF2421" w:rsidRPr="00EF2421">
        <w:rPr>
          <w:rFonts w:ascii="Times New Roman" w:hAnsi="Times New Roman"/>
          <w:sz w:val="24"/>
          <w:szCs w:val="24"/>
          <w:lang w:val="en-GB"/>
        </w:rPr>
        <w:t xml:space="preserve">those </w:t>
      </w:r>
      <w:r w:rsidR="00EF2421">
        <w:rPr>
          <w:rFonts w:ascii="Times New Roman" w:hAnsi="Times New Roman"/>
          <w:sz w:val="24"/>
          <w:szCs w:val="24"/>
          <w:lang w:val="en-GB"/>
        </w:rPr>
        <w:t>‘I</w:t>
      </w:r>
      <w:r w:rsidR="00EF2421" w:rsidRPr="00760F3B">
        <w:rPr>
          <w:rFonts w:ascii="Times New Roman" w:hAnsi="Times New Roman"/>
          <w:sz w:val="24"/>
          <w:szCs w:val="24"/>
          <w:lang w:val="en-GB"/>
        </w:rPr>
        <w:t xml:space="preserve">nitiated in </w:t>
      </w:r>
      <w:r w:rsidR="0045593C">
        <w:rPr>
          <w:rFonts w:ascii="Times New Roman" w:hAnsi="Times New Roman"/>
          <w:sz w:val="24"/>
          <w:szCs w:val="24"/>
          <w:lang w:val="en-GB"/>
        </w:rPr>
        <w:t>O</w:t>
      </w:r>
      <w:r w:rsidR="0045593C" w:rsidRPr="00760F3B">
        <w:rPr>
          <w:rFonts w:ascii="Times New Roman" w:hAnsi="Times New Roman"/>
          <w:sz w:val="24"/>
          <w:szCs w:val="24"/>
          <w:lang w:val="en-GB"/>
        </w:rPr>
        <w:t>ther’</w:t>
      </w:r>
      <w:r w:rsidR="0045593C" w:rsidRPr="00223490">
        <w:rPr>
          <w:rStyle w:val="FootnoteReference"/>
          <w:rFonts w:ascii="Times New Roman" w:hAnsi="Times New Roman"/>
          <w:sz w:val="24"/>
          <w:szCs w:val="24"/>
          <w:lang w:val="en-GB"/>
        </w:rPr>
        <w:fldChar w:fldCharType="begin"/>
      </w:r>
      <w:r w:rsidR="0045593C" w:rsidRPr="00223490">
        <w:rPr>
          <w:rStyle w:val="FootnoteReference"/>
          <w:rFonts w:ascii="Times New Roman" w:hAnsi="Times New Roman"/>
          <w:sz w:val="24"/>
          <w:szCs w:val="24"/>
          <w:lang w:val="en-GB"/>
        </w:rPr>
        <w:instrText xml:space="preserve"> NOTEREF _Ref81893948 \h  \* MERGEFORMAT </w:instrText>
      </w:r>
      <w:r w:rsidR="0045593C" w:rsidRPr="00223490">
        <w:rPr>
          <w:rStyle w:val="FootnoteReference"/>
          <w:rFonts w:ascii="Times New Roman" w:hAnsi="Times New Roman"/>
          <w:sz w:val="24"/>
          <w:szCs w:val="24"/>
          <w:lang w:val="en-GB"/>
        </w:rPr>
      </w:r>
      <w:r w:rsidR="0045593C" w:rsidRPr="0022349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46</w:t>
      </w:r>
      <w:r w:rsidR="0045593C" w:rsidRPr="00223490">
        <w:rPr>
          <w:rStyle w:val="FootnoteReference"/>
          <w:rFonts w:ascii="Times New Roman" w:hAnsi="Times New Roman"/>
          <w:sz w:val="24"/>
          <w:szCs w:val="24"/>
          <w:lang w:val="en-GB"/>
        </w:rPr>
        <w:fldChar w:fldCharType="end"/>
      </w:r>
      <w:r w:rsidR="0045593C">
        <w:rPr>
          <w:rFonts w:ascii="Times New Roman" w:hAnsi="Times New Roman"/>
          <w:sz w:val="24"/>
          <w:szCs w:val="24"/>
          <w:lang w:val="en-GB"/>
        </w:rPr>
        <w:t xml:space="preserve"> form</w:t>
      </w:r>
      <w:r w:rsidR="00223490">
        <w:rPr>
          <w:rFonts w:ascii="Times New Roman" w:hAnsi="Times New Roman"/>
          <w:sz w:val="24"/>
          <w:szCs w:val="24"/>
          <w:lang w:val="en-GB"/>
        </w:rPr>
        <w:t>, and those ‘I</w:t>
      </w:r>
      <w:r w:rsidR="00223490" w:rsidRPr="00760F3B">
        <w:rPr>
          <w:rFonts w:ascii="Times New Roman" w:hAnsi="Times New Roman"/>
          <w:sz w:val="24"/>
          <w:szCs w:val="24"/>
          <w:lang w:val="en-GB"/>
        </w:rPr>
        <w:t>nitiated electronically’</w:t>
      </w:r>
      <w:r w:rsidR="00223490" w:rsidRPr="00223490">
        <w:rPr>
          <w:rStyle w:val="FootnoteReference"/>
          <w:rFonts w:ascii="Times New Roman" w:hAnsi="Times New Roman"/>
          <w:sz w:val="24"/>
          <w:szCs w:val="24"/>
          <w:lang w:val="en-GB"/>
        </w:rPr>
        <w:fldChar w:fldCharType="begin"/>
      </w:r>
      <w:r w:rsidR="00223490" w:rsidRPr="00223490">
        <w:rPr>
          <w:rStyle w:val="FootnoteReference"/>
          <w:rFonts w:ascii="Times New Roman" w:hAnsi="Times New Roman"/>
          <w:sz w:val="24"/>
          <w:szCs w:val="24"/>
          <w:lang w:val="en-GB"/>
        </w:rPr>
        <w:instrText xml:space="preserve"> NOTEREF _Ref81216064 \h  \* MERGEFORMAT </w:instrText>
      </w:r>
      <w:r w:rsidR="00223490" w:rsidRPr="00223490">
        <w:rPr>
          <w:rStyle w:val="FootnoteReference"/>
          <w:rFonts w:ascii="Times New Roman" w:hAnsi="Times New Roman"/>
          <w:sz w:val="24"/>
          <w:szCs w:val="24"/>
          <w:lang w:val="en-GB"/>
        </w:rPr>
      </w:r>
      <w:r w:rsidR="00223490" w:rsidRPr="0022349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45</w:t>
      </w:r>
      <w:r w:rsidR="00223490" w:rsidRPr="00223490">
        <w:rPr>
          <w:rStyle w:val="FootnoteReference"/>
          <w:rFonts w:ascii="Times New Roman" w:hAnsi="Times New Roman"/>
          <w:sz w:val="24"/>
          <w:szCs w:val="24"/>
          <w:lang w:val="en-GB"/>
        </w:rPr>
        <w:fldChar w:fldCharType="end"/>
      </w:r>
      <w:r w:rsidR="00223490" w:rsidRPr="00760F3B">
        <w:rPr>
          <w:rFonts w:ascii="Times New Roman" w:hAnsi="Times New Roman"/>
          <w:sz w:val="24"/>
          <w:szCs w:val="24"/>
          <w:lang w:val="en-GB"/>
        </w:rPr>
        <w:t>.</w:t>
      </w:r>
      <w:r w:rsidR="009E60C0">
        <w:rPr>
          <w:rFonts w:ascii="Times New Roman" w:hAnsi="Times New Roman"/>
          <w:sz w:val="24"/>
          <w:szCs w:val="24"/>
          <w:lang w:val="en-GB"/>
        </w:rPr>
        <w:t xml:space="preserve"> Likewise, under ‘Card-based payment transactions (total)’, you should include both those </w:t>
      </w:r>
      <w:r w:rsidR="009E60C0" w:rsidRPr="00AA660C">
        <w:rPr>
          <w:rFonts w:ascii="Times New Roman" w:hAnsi="Times New Roman"/>
          <w:sz w:val="24"/>
          <w:szCs w:val="24"/>
          <w:lang w:val="en-GB"/>
        </w:rPr>
        <w:t>‘initiated electronically’</w:t>
      </w:r>
      <w:r w:rsidR="009E60C0" w:rsidRPr="009E60C0">
        <w:rPr>
          <w:rStyle w:val="FootnoteReference"/>
          <w:rFonts w:ascii="Times New Roman" w:hAnsi="Times New Roman"/>
          <w:sz w:val="24"/>
          <w:szCs w:val="24"/>
          <w:lang w:val="en-GB"/>
        </w:rPr>
        <w:fldChar w:fldCharType="begin"/>
      </w:r>
      <w:r w:rsidR="009E60C0" w:rsidRPr="009E60C0">
        <w:rPr>
          <w:rStyle w:val="FootnoteReference"/>
          <w:rFonts w:ascii="Times New Roman" w:hAnsi="Times New Roman"/>
          <w:sz w:val="24"/>
          <w:szCs w:val="24"/>
          <w:lang w:val="en-GB"/>
        </w:rPr>
        <w:instrText xml:space="preserve"> NOTEREF _Ref81221735 \h  \* MERGEFORMAT </w:instrText>
      </w:r>
      <w:r w:rsidR="009E60C0" w:rsidRPr="009E60C0">
        <w:rPr>
          <w:rStyle w:val="FootnoteReference"/>
          <w:rFonts w:ascii="Times New Roman" w:hAnsi="Times New Roman"/>
          <w:sz w:val="24"/>
          <w:szCs w:val="24"/>
          <w:lang w:val="en-GB"/>
        </w:rPr>
      </w:r>
      <w:r w:rsidR="009E60C0" w:rsidRPr="009E60C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63</w:t>
      </w:r>
      <w:r w:rsidR="009E60C0" w:rsidRPr="009E60C0">
        <w:rPr>
          <w:rStyle w:val="FootnoteReference"/>
          <w:rFonts w:ascii="Times New Roman" w:hAnsi="Times New Roman"/>
          <w:sz w:val="24"/>
          <w:szCs w:val="24"/>
          <w:lang w:val="en-GB"/>
        </w:rPr>
        <w:fldChar w:fldCharType="end"/>
      </w:r>
      <w:r w:rsidR="009E60C0" w:rsidRPr="00AA660C">
        <w:rPr>
          <w:rFonts w:ascii="Times New Roman" w:hAnsi="Times New Roman"/>
          <w:sz w:val="24"/>
          <w:szCs w:val="24"/>
          <w:lang w:val="en-GB"/>
        </w:rPr>
        <w:t xml:space="preserve"> and </w:t>
      </w:r>
      <w:r w:rsidR="009E60C0">
        <w:rPr>
          <w:rFonts w:ascii="Times New Roman" w:hAnsi="Times New Roman"/>
          <w:sz w:val="24"/>
          <w:szCs w:val="24"/>
          <w:lang w:val="en-GB"/>
        </w:rPr>
        <w:t xml:space="preserve">those </w:t>
      </w:r>
      <w:r w:rsidR="009E60C0" w:rsidRPr="00AA660C">
        <w:rPr>
          <w:rFonts w:ascii="Times New Roman" w:hAnsi="Times New Roman"/>
          <w:sz w:val="24"/>
          <w:szCs w:val="24"/>
          <w:lang w:val="en-GB"/>
        </w:rPr>
        <w:t>‘initiated non-electronically’</w:t>
      </w:r>
      <w:r w:rsidR="009E60C0" w:rsidRPr="009E60C0">
        <w:rPr>
          <w:rStyle w:val="FootnoteReference"/>
          <w:rFonts w:ascii="Times New Roman" w:hAnsi="Times New Roman"/>
          <w:sz w:val="24"/>
          <w:szCs w:val="24"/>
          <w:lang w:val="en-GB"/>
        </w:rPr>
        <w:fldChar w:fldCharType="begin"/>
      </w:r>
      <w:r w:rsidR="009E60C0" w:rsidRPr="009E60C0">
        <w:rPr>
          <w:rStyle w:val="FootnoteReference"/>
          <w:rFonts w:ascii="Times New Roman" w:hAnsi="Times New Roman"/>
          <w:sz w:val="24"/>
          <w:szCs w:val="24"/>
          <w:lang w:val="en-GB"/>
        </w:rPr>
        <w:instrText xml:space="preserve"> NOTEREF _Ref72000886 \h  \* MERGEFORMAT </w:instrText>
      </w:r>
      <w:r w:rsidR="009E60C0" w:rsidRPr="009E60C0">
        <w:rPr>
          <w:rStyle w:val="FootnoteReference"/>
          <w:rFonts w:ascii="Times New Roman" w:hAnsi="Times New Roman"/>
          <w:sz w:val="24"/>
          <w:szCs w:val="24"/>
          <w:lang w:val="en-GB"/>
        </w:rPr>
      </w:r>
      <w:r w:rsidR="009E60C0" w:rsidRPr="009E60C0">
        <w:rPr>
          <w:rStyle w:val="FootnoteReference"/>
          <w:rFonts w:ascii="Times New Roman" w:hAnsi="Times New Roman"/>
          <w:sz w:val="24"/>
          <w:szCs w:val="24"/>
          <w:lang w:val="en-GB"/>
        </w:rPr>
        <w:fldChar w:fldCharType="separate"/>
      </w:r>
      <w:r w:rsidR="00F53249">
        <w:rPr>
          <w:rStyle w:val="FootnoteReference"/>
          <w:rFonts w:ascii="Times New Roman" w:hAnsi="Times New Roman"/>
          <w:sz w:val="24"/>
          <w:szCs w:val="24"/>
          <w:lang w:val="en-GB"/>
        </w:rPr>
        <w:t>64</w:t>
      </w:r>
      <w:r w:rsidR="009E60C0" w:rsidRPr="009E60C0">
        <w:rPr>
          <w:rStyle w:val="FootnoteReference"/>
          <w:rFonts w:ascii="Times New Roman" w:hAnsi="Times New Roman"/>
          <w:sz w:val="24"/>
          <w:szCs w:val="24"/>
          <w:lang w:val="en-GB"/>
        </w:rPr>
        <w:fldChar w:fldCharType="end"/>
      </w:r>
      <w:r w:rsidR="009E60C0">
        <w:rPr>
          <w:rFonts w:ascii="Times New Roman" w:hAnsi="Times New Roman"/>
          <w:sz w:val="24"/>
          <w:szCs w:val="24"/>
          <w:lang w:val="en-GB"/>
        </w:rPr>
        <w:t>.</w:t>
      </w:r>
      <w:r w:rsidR="009E60C0" w:rsidRPr="00AA660C">
        <w:rPr>
          <w:rFonts w:ascii="Times New Roman" w:hAnsi="Times New Roman"/>
          <w:sz w:val="24"/>
          <w:szCs w:val="24"/>
          <w:lang w:val="en-GB"/>
        </w:rPr>
        <w:t xml:space="preserve"> </w:t>
      </w:r>
    </w:p>
    <w:p w14:paraId="2C1F52D0" w14:textId="5DA8EB71" w:rsidR="00417BF8" w:rsidRPr="003C42A7" w:rsidRDefault="00417BF8" w:rsidP="00417BF8">
      <w:pPr>
        <w:spacing w:after="120" w:line="360" w:lineRule="auto"/>
        <w:jc w:val="both"/>
        <w:rPr>
          <w:rFonts w:ascii="Times New Roman" w:hAnsi="Times New Roman"/>
          <w:sz w:val="24"/>
          <w:szCs w:val="24"/>
          <w:lang w:val="en-GB"/>
        </w:rPr>
      </w:pPr>
      <w:r w:rsidRPr="00AA660C">
        <w:rPr>
          <w:rFonts w:ascii="Times New Roman" w:hAnsi="Times New Roman"/>
          <w:sz w:val="24"/>
          <w:szCs w:val="24"/>
          <w:lang w:val="en-GB"/>
        </w:rPr>
        <w:lastRenderedPageBreak/>
        <w:t>‘</w:t>
      </w:r>
      <w:r>
        <w:rPr>
          <w:rFonts w:ascii="Times New Roman" w:hAnsi="Times New Roman"/>
          <w:sz w:val="24"/>
          <w:szCs w:val="24"/>
          <w:lang w:val="en-GB"/>
        </w:rPr>
        <w:t>I</w:t>
      </w:r>
      <w:r w:rsidRPr="00AA660C">
        <w:rPr>
          <w:rFonts w:ascii="Times New Roman" w:hAnsi="Times New Roman"/>
          <w:sz w:val="24"/>
          <w:szCs w:val="24"/>
          <w:lang w:val="en-GB"/>
        </w:rPr>
        <w:t>nitiated electronically’</w:t>
      </w:r>
      <w:r>
        <w:rPr>
          <w:rFonts w:ascii="Times New Roman" w:hAnsi="Times New Roman"/>
          <w:sz w:val="24"/>
          <w:szCs w:val="24"/>
          <w:lang w:val="en-GB"/>
        </w:rPr>
        <w:t xml:space="preserve"> </w:t>
      </w:r>
      <w:r w:rsidR="006F123F">
        <w:rPr>
          <w:rFonts w:ascii="Times New Roman" w:hAnsi="Times New Roman"/>
          <w:sz w:val="24"/>
          <w:szCs w:val="24"/>
          <w:lang w:val="en-GB"/>
        </w:rPr>
        <w:t>is</w:t>
      </w:r>
      <w:r>
        <w:rPr>
          <w:rFonts w:ascii="Times New Roman" w:hAnsi="Times New Roman"/>
          <w:sz w:val="24"/>
          <w:szCs w:val="24"/>
          <w:lang w:val="en-GB"/>
        </w:rPr>
        <w:t xml:space="preserve"> further broken down into remote payment transactions and non-remote payment transactions. Remote payment transactions include transactions initiated via internet or through a device that can be used for distance communication. Non-remote payment transactions cover transactions at terminals, including those using contactless technology. </w:t>
      </w:r>
    </w:p>
    <w:p w14:paraId="6C5B3F81" w14:textId="69E82500" w:rsidR="006D208C" w:rsidRDefault="00FD67A6" w:rsidP="00760F3B">
      <w:pPr>
        <w:pStyle w:val="Heading1"/>
        <w:jc w:val="both"/>
      </w:pPr>
      <w:bookmarkStart w:id="55" w:name="_Toc221126456"/>
      <w:r>
        <w:t xml:space="preserve">Validation </w:t>
      </w:r>
      <w:r w:rsidR="006D208C">
        <w:t>checks</w:t>
      </w:r>
      <w:bookmarkEnd w:id="55"/>
    </w:p>
    <w:p w14:paraId="73033DB2" w14:textId="77777777" w:rsidR="002A74BE" w:rsidRDefault="00F20AE1" w:rsidP="002A74BE">
      <w:pPr>
        <w:spacing w:after="120" w:line="360" w:lineRule="auto"/>
        <w:jc w:val="both"/>
        <w:rPr>
          <w:rFonts w:ascii="Times New Roman" w:hAnsi="Times New Roman"/>
          <w:sz w:val="24"/>
          <w:szCs w:val="24"/>
          <w:lang w:val="en-GB"/>
        </w:rPr>
      </w:pPr>
      <w:proofErr w:type="gramStart"/>
      <w:r w:rsidRPr="00F20AE1">
        <w:rPr>
          <w:rFonts w:ascii="Times New Roman" w:hAnsi="Times New Roman"/>
          <w:sz w:val="24"/>
          <w:szCs w:val="24"/>
          <w:lang w:val="en-US"/>
        </w:rPr>
        <w:t>In an effort to</w:t>
      </w:r>
      <w:proofErr w:type="gramEnd"/>
      <w:r w:rsidRPr="00F20AE1">
        <w:rPr>
          <w:rFonts w:ascii="Times New Roman" w:hAnsi="Times New Roman"/>
          <w:sz w:val="24"/>
          <w:szCs w:val="24"/>
          <w:lang w:val="en-US"/>
        </w:rPr>
        <w:t xml:space="preserve"> improve the data quality of payment statistics, the CBC has applied </w:t>
      </w:r>
      <w:r w:rsidR="00FD67A6">
        <w:rPr>
          <w:rFonts w:ascii="Times New Roman" w:hAnsi="Times New Roman"/>
          <w:sz w:val="24"/>
          <w:szCs w:val="24"/>
          <w:lang w:val="en-US"/>
        </w:rPr>
        <w:t>validation</w:t>
      </w:r>
      <w:r w:rsidRPr="00F20AE1">
        <w:rPr>
          <w:rFonts w:ascii="Times New Roman" w:hAnsi="Times New Roman"/>
          <w:sz w:val="24"/>
          <w:szCs w:val="24"/>
          <w:lang w:val="en-US"/>
        </w:rPr>
        <w:t xml:space="preserve"> checks </w:t>
      </w:r>
      <w:r w:rsidR="00FD67A6">
        <w:rPr>
          <w:rFonts w:ascii="Times New Roman" w:hAnsi="Times New Roman"/>
          <w:sz w:val="24"/>
          <w:szCs w:val="24"/>
          <w:lang w:val="en-US"/>
        </w:rPr>
        <w:t xml:space="preserve">which are automatically performed </w:t>
      </w:r>
      <w:proofErr w:type="gramStart"/>
      <w:r w:rsidRPr="00F20AE1">
        <w:rPr>
          <w:rFonts w:ascii="Times New Roman" w:hAnsi="Times New Roman"/>
          <w:sz w:val="24"/>
          <w:szCs w:val="24"/>
          <w:lang w:val="en-US"/>
        </w:rPr>
        <w:t>in</w:t>
      </w:r>
      <w:proofErr w:type="gramEnd"/>
      <w:r w:rsidRPr="00F20AE1">
        <w:rPr>
          <w:rFonts w:ascii="Times New Roman" w:hAnsi="Times New Roman"/>
          <w:sz w:val="24"/>
          <w:szCs w:val="24"/>
          <w:lang w:val="en-US"/>
        </w:rPr>
        <w:t xml:space="preserve"> the FX platform. </w:t>
      </w:r>
      <w:r w:rsidR="00BF6891">
        <w:rPr>
          <w:rFonts w:ascii="Times New Roman" w:hAnsi="Times New Roman"/>
          <w:sz w:val="24"/>
          <w:szCs w:val="24"/>
          <w:lang w:val="en-US"/>
        </w:rPr>
        <w:t xml:space="preserve"> </w:t>
      </w:r>
      <w:r w:rsidR="002A74BE">
        <w:rPr>
          <w:rFonts w:ascii="Times New Roman" w:hAnsi="Times New Roman"/>
          <w:sz w:val="24"/>
          <w:szCs w:val="24"/>
          <w:lang w:val="en-US"/>
        </w:rPr>
        <w:t>In this context</w:t>
      </w:r>
      <w:r w:rsidR="00BF6891">
        <w:rPr>
          <w:rFonts w:ascii="Times New Roman" w:hAnsi="Times New Roman"/>
          <w:sz w:val="24"/>
          <w:szCs w:val="24"/>
          <w:lang w:val="en-US"/>
        </w:rPr>
        <w:t xml:space="preserve">, the CBC has applied </w:t>
      </w:r>
      <w:r w:rsidR="00FD67A6">
        <w:rPr>
          <w:rFonts w:ascii="Times New Roman" w:hAnsi="Times New Roman"/>
          <w:sz w:val="24"/>
          <w:szCs w:val="24"/>
          <w:lang w:val="en-US"/>
        </w:rPr>
        <w:t>validation formulas as well as cross-checks. Cross-checks refer</w:t>
      </w:r>
      <w:r w:rsidRPr="00F20AE1">
        <w:rPr>
          <w:rFonts w:ascii="Times New Roman" w:hAnsi="Times New Roman"/>
          <w:sz w:val="24"/>
          <w:szCs w:val="24"/>
          <w:lang w:val="en-US"/>
        </w:rPr>
        <w:t xml:space="preserve"> to </w:t>
      </w:r>
      <w:r>
        <w:rPr>
          <w:rFonts w:ascii="Times New Roman" w:hAnsi="Times New Roman"/>
          <w:sz w:val="24"/>
          <w:szCs w:val="24"/>
          <w:lang w:val="en-US"/>
        </w:rPr>
        <w:t>(a)</w:t>
      </w:r>
      <w:r w:rsidRPr="00F20AE1">
        <w:rPr>
          <w:rFonts w:ascii="Times New Roman" w:hAnsi="Times New Roman"/>
          <w:sz w:val="24"/>
          <w:szCs w:val="24"/>
          <w:lang w:val="en-US"/>
        </w:rPr>
        <w:t xml:space="preserve"> checks between</w:t>
      </w:r>
      <w:r>
        <w:rPr>
          <w:rFonts w:ascii="Times New Roman" w:hAnsi="Times New Roman"/>
          <w:sz w:val="24"/>
          <w:szCs w:val="24"/>
          <w:lang w:val="en-US"/>
        </w:rPr>
        <w:t xml:space="preserve"> </w:t>
      </w:r>
      <w:r w:rsidRPr="00F20AE1">
        <w:rPr>
          <w:rFonts w:ascii="Times New Roman" w:hAnsi="Times New Roman"/>
          <w:sz w:val="24"/>
          <w:szCs w:val="24"/>
          <w:lang w:val="en-US"/>
        </w:rPr>
        <w:t xml:space="preserve">the semi-annual </w:t>
      </w:r>
      <w:r>
        <w:rPr>
          <w:rFonts w:ascii="Times New Roman" w:hAnsi="Times New Roman"/>
          <w:sz w:val="24"/>
          <w:szCs w:val="24"/>
          <w:lang w:val="en-US"/>
        </w:rPr>
        <w:t>data</w:t>
      </w:r>
      <w:r w:rsidRPr="00F20AE1">
        <w:rPr>
          <w:rFonts w:ascii="Times New Roman" w:hAnsi="Times New Roman"/>
          <w:sz w:val="24"/>
          <w:szCs w:val="24"/>
          <w:lang w:val="en-US"/>
        </w:rPr>
        <w:t xml:space="preserve"> and </w:t>
      </w:r>
      <w:r w:rsidR="006D208C">
        <w:rPr>
          <w:rFonts w:ascii="Times New Roman" w:hAnsi="Times New Roman"/>
          <w:sz w:val="24"/>
          <w:szCs w:val="24"/>
          <w:lang w:val="en-GB"/>
        </w:rPr>
        <w:t xml:space="preserve">and </w:t>
      </w:r>
      <w:r w:rsidR="00CA6282">
        <w:rPr>
          <w:rFonts w:ascii="Times New Roman" w:hAnsi="Times New Roman"/>
          <w:sz w:val="24"/>
          <w:szCs w:val="24"/>
          <w:lang w:val="en-GB"/>
        </w:rPr>
        <w:t xml:space="preserve">the </w:t>
      </w:r>
      <w:r w:rsidR="006D208C">
        <w:rPr>
          <w:rFonts w:ascii="Times New Roman" w:hAnsi="Times New Roman"/>
          <w:sz w:val="24"/>
          <w:szCs w:val="24"/>
          <w:lang w:val="en-GB"/>
        </w:rPr>
        <w:t>quarterly data</w:t>
      </w:r>
      <w:r>
        <w:rPr>
          <w:rFonts w:ascii="Times New Roman" w:hAnsi="Times New Roman"/>
          <w:sz w:val="24"/>
          <w:szCs w:val="24"/>
          <w:lang w:val="en-GB"/>
        </w:rPr>
        <w:t xml:space="preserve">, and (b) </w:t>
      </w:r>
      <w:r w:rsidRPr="00F20AE1">
        <w:rPr>
          <w:rFonts w:ascii="Times New Roman" w:hAnsi="Times New Roman"/>
          <w:sz w:val="24"/>
          <w:szCs w:val="24"/>
          <w:lang w:val="en-US"/>
        </w:rPr>
        <w:t xml:space="preserve">checks between the semi-annual </w:t>
      </w:r>
      <w:r>
        <w:rPr>
          <w:rFonts w:ascii="Times New Roman" w:hAnsi="Times New Roman"/>
          <w:sz w:val="24"/>
          <w:szCs w:val="24"/>
          <w:lang w:val="en-US"/>
        </w:rPr>
        <w:t>data</w:t>
      </w:r>
      <w:r w:rsidRPr="00F20AE1">
        <w:rPr>
          <w:rFonts w:ascii="Times New Roman" w:hAnsi="Times New Roman"/>
          <w:sz w:val="24"/>
          <w:szCs w:val="24"/>
          <w:lang w:val="en-US"/>
        </w:rPr>
        <w:t xml:space="preserve"> and the fraudulent </w:t>
      </w:r>
      <w:r>
        <w:rPr>
          <w:rFonts w:ascii="Times New Roman" w:hAnsi="Times New Roman"/>
          <w:sz w:val="24"/>
          <w:szCs w:val="24"/>
          <w:lang w:val="en-US"/>
        </w:rPr>
        <w:t>data</w:t>
      </w:r>
      <w:r w:rsidRPr="00F20AE1">
        <w:rPr>
          <w:rFonts w:ascii="Times New Roman" w:hAnsi="Times New Roman"/>
          <w:sz w:val="24"/>
          <w:szCs w:val="24"/>
          <w:lang w:val="en-US"/>
        </w:rPr>
        <w:t xml:space="preserve"> </w:t>
      </w:r>
      <w:r w:rsidR="002A74BE">
        <w:rPr>
          <w:rFonts w:ascii="Times New Roman" w:hAnsi="Times New Roman"/>
          <w:sz w:val="24"/>
          <w:szCs w:val="24"/>
          <w:lang w:val="en-US"/>
        </w:rPr>
        <w:t>for each</w:t>
      </w:r>
      <w:r w:rsidR="006D208C">
        <w:rPr>
          <w:rFonts w:ascii="Times New Roman" w:hAnsi="Times New Roman"/>
          <w:sz w:val="24"/>
          <w:szCs w:val="24"/>
          <w:lang w:val="en-GB"/>
        </w:rPr>
        <w:t xml:space="preserve"> Reporting Agent. </w:t>
      </w:r>
      <w:r w:rsidR="002A74BE">
        <w:rPr>
          <w:rFonts w:ascii="Times New Roman" w:hAnsi="Times New Roman"/>
          <w:sz w:val="24"/>
          <w:szCs w:val="24"/>
          <w:lang w:val="en-GB"/>
        </w:rPr>
        <w:t xml:space="preserve">As regards the </w:t>
      </w:r>
      <w:r w:rsidR="002A74BE" w:rsidRPr="00F20AE1">
        <w:rPr>
          <w:rFonts w:ascii="Times New Roman" w:hAnsi="Times New Roman"/>
          <w:sz w:val="24"/>
          <w:szCs w:val="24"/>
          <w:lang w:val="en-US"/>
        </w:rPr>
        <w:t>cross-checks between</w:t>
      </w:r>
      <w:r w:rsidR="002A74BE">
        <w:rPr>
          <w:rFonts w:ascii="Times New Roman" w:hAnsi="Times New Roman"/>
          <w:sz w:val="24"/>
          <w:szCs w:val="24"/>
          <w:lang w:val="en-US"/>
        </w:rPr>
        <w:t xml:space="preserve"> </w:t>
      </w:r>
      <w:r w:rsidR="002A74BE" w:rsidRPr="00F20AE1">
        <w:rPr>
          <w:rFonts w:ascii="Times New Roman" w:hAnsi="Times New Roman"/>
          <w:sz w:val="24"/>
          <w:szCs w:val="24"/>
          <w:lang w:val="en-US"/>
        </w:rPr>
        <w:t xml:space="preserve">the semi-annual and </w:t>
      </w:r>
      <w:r w:rsidR="002A74BE">
        <w:rPr>
          <w:rFonts w:ascii="Times New Roman" w:hAnsi="Times New Roman"/>
          <w:sz w:val="24"/>
          <w:szCs w:val="24"/>
          <w:lang w:val="en-GB"/>
        </w:rPr>
        <w:t xml:space="preserve">and the quarterly data, the </w:t>
      </w:r>
      <w:r w:rsidR="002A74BE" w:rsidRPr="006D208C">
        <w:rPr>
          <w:rFonts w:ascii="Times New Roman" w:hAnsi="Times New Roman"/>
          <w:sz w:val="24"/>
          <w:szCs w:val="24"/>
          <w:lang w:val="en-GB"/>
        </w:rPr>
        <w:t>semi-annual data</w:t>
      </w:r>
      <w:r w:rsidR="002A74BE">
        <w:rPr>
          <w:rFonts w:ascii="Times New Roman" w:hAnsi="Times New Roman"/>
          <w:sz w:val="24"/>
          <w:szCs w:val="24"/>
          <w:lang w:val="en-GB"/>
        </w:rPr>
        <w:t xml:space="preserve"> (Table 4a)</w:t>
      </w:r>
      <w:r w:rsidR="002A74BE" w:rsidRPr="006D208C">
        <w:rPr>
          <w:rFonts w:ascii="Times New Roman" w:hAnsi="Times New Roman"/>
          <w:sz w:val="24"/>
          <w:szCs w:val="24"/>
          <w:lang w:val="en-GB"/>
        </w:rPr>
        <w:t xml:space="preserve"> should match the corresponding quarterly periods</w:t>
      </w:r>
      <w:r w:rsidR="002A74BE">
        <w:rPr>
          <w:rFonts w:ascii="Times New Roman" w:hAnsi="Times New Roman"/>
          <w:sz w:val="24"/>
          <w:szCs w:val="24"/>
          <w:lang w:val="en-GB"/>
        </w:rPr>
        <w:t xml:space="preserve"> (Table 9)</w:t>
      </w:r>
      <w:r w:rsidR="002A74BE" w:rsidRPr="006D208C">
        <w:rPr>
          <w:rFonts w:ascii="Times New Roman" w:hAnsi="Times New Roman"/>
          <w:sz w:val="24"/>
          <w:szCs w:val="24"/>
          <w:lang w:val="en-GB"/>
        </w:rPr>
        <w:t xml:space="preserve"> submitted for the same year.</w:t>
      </w:r>
      <w:r w:rsidR="002A74BE">
        <w:rPr>
          <w:rFonts w:ascii="Times New Roman" w:hAnsi="Times New Roman"/>
          <w:sz w:val="24"/>
          <w:szCs w:val="24"/>
          <w:lang w:val="en-GB"/>
        </w:rPr>
        <w:t xml:space="preserve"> The cross-checks include the following:</w:t>
      </w:r>
    </w:p>
    <w:p w14:paraId="5E62C6BB" w14:textId="77777777" w:rsidR="002A74BE" w:rsidRPr="005517AD" w:rsidRDefault="002A74BE" w:rsidP="002A74BE">
      <w:pPr>
        <w:pStyle w:val="ListParagraph"/>
        <w:numPr>
          <w:ilvl w:val="0"/>
          <w:numId w:val="32"/>
        </w:numPr>
        <w:spacing w:after="120" w:line="360" w:lineRule="auto"/>
        <w:jc w:val="both"/>
        <w:rPr>
          <w:rFonts w:ascii="Times New Roman" w:hAnsi="Times New Roman"/>
          <w:sz w:val="24"/>
          <w:szCs w:val="24"/>
          <w:lang w:val="en-GB"/>
        </w:rPr>
      </w:pPr>
      <w:r>
        <w:rPr>
          <w:rFonts w:ascii="Times New Roman" w:hAnsi="Times New Roman"/>
          <w:sz w:val="24"/>
          <w:szCs w:val="24"/>
          <w:lang w:val="en-GB"/>
        </w:rPr>
        <w:t>C</w:t>
      </w:r>
      <w:r w:rsidRPr="005517AD">
        <w:rPr>
          <w:rFonts w:ascii="Times New Roman" w:hAnsi="Times New Roman"/>
          <w:sz w:val="24"/>
          <w:szCs w:val="24"/>
          <w:lang w:val="en-GB"/>
        </w:rPr>
        <w:t>redit transfers initiated via non-remote payment channel [sent], reported semi-annuall</w:t>
      </w:r>
      <w:r>
        <w:rPr>
          <w:rFonts w:ascii="Times New Roman" w:hAnsi="Times New Roman"/>
          <w:sz w:val="24"/>
          <w:szCs w:val="24"/>
          <w:lang w:val="en-GB"/>
        </w:rPr>
        <w:t>y, equal</w:t>
      </w:r>
      <w:r w:rsidRPr="005517AD">
        <w:rPr>
          <w:rFonts w:ascii="Times New Roman" w:hAnsi="Times New Roman"/>
          <w:sz w:val="24"/>
          <w:szCs w:val="24"/>
          <w:lang w:val="en-GB"/>
        </w:rPr>
        <w:t xml:space="preserve"> the sum of those reported quarterly</w:t>
      </w:r>
      <w:r>
        <w:rPr>
          <w:rFonts w:ascii="Times New Roman" w:hAnsi="Times New Roman"/>
          <w:sz w:val="24"/>
          <w:szCs w:val="24"/>
          <w:lang w:val="en-GB"/>
        </w:rPr>
        <w:t>.</w:t>
      </w:r>
    </w:p>
    <w:p w14:paraId="0E6ED186" w14:textId="77777777" w:rsidR="002A74BE" w:rsidRPr="005517AD" w:rsidRDefault="002A74BE" w:rsidP="002A74BE">
      <w:pPr>
        <w:pStyle w:val="ListParagraph"/>
        <w:numPr>
          <w:ilvl w:val="0"/>
          <w:numId w:val="32"/>
        </w:numPr>
        <w:spacing w:after="120" w:line="360" w:lineRule="auto"/>
        <w:jc w:val="both"/>
        <w:rPr>
          <w:rFonts w:ascii="Times New Roman" w:hAnsi="Times New Roman"/>
          <w:sz w:val="24"/>
          <w:szCs w:val="24"/>
          <w:lang w:val="en-GB"/>
        </w:rPr>
      </w:pPr>
      <w:r>
        <w:rPr>
          <w:rFonts w:ascii="Times New Roman" w:hAnsi="Times New Roman"/>
          <w:sz w:val="24"/>
          <w:szCs w:val="24"/>
          <w:lang w:val="en-GB"/>
        </w:rPr>
        <w:t>C</w:t>
      </w:r>
      <w:r w:rsidRPr="005517AD">
        <w:rPr>
          <w:rFonts w:ascii="Times New Roman" w:hAnsi="Times New Roman"/>
          <w:sz w:val="24"/>
          <w:szCs w:val="24"/>
          <w:lang w:val="en-GB"/>
        </w:rPr>
        <w:t>redit transfers initiated via remote payment channel [sent]</w:t>
      </w:r>
      <w:r>
        <w:rPr>
          <w:rFonts w:ascii="Times New Roman" w:hAnsi="Times New Roman"/>
          <w:sz w:val="24"/>
          <w:szCs w:val="24"/>
          <w:lang w:val="en-GB"/>
        </w:rPr>
        <w:t>, reported semi-annually, equal</w:t>
      </w:r>
      <w:r w:rsidRPr="005517AD">
        <w:rPr>
          <w:rFonts w:ascii="Times New Roman" w:hAnsi="Times New Roman"/>
          <w:sz w:val="24"/>
          <w:szCs w:val="24"/>
          <w:lang w:val="en-GB"/>
        </w:rPr>
        <w:t xml:space="preserve"> the sum of those reported quarterly</w:t>
      </w:r>
      <w:r>
        <w:rPr>
          <w:rFonts w:ascii="Times New Roman" w:hAnsi="Times New Roman"/>
          <w:sz w:val="24"/>
          <w:szCs w:val="24"/>
          <w:lang w:val="en-GB"/>
        </w:rPr>
        <w:t>.</w:t>
      </w:r>
    </w:p>
    <w:p w14:paraId="4C68B023" w14:textId="77777777" w:rsidR="002A74BE" w:rsidRPr="005517AD" w:rsidRDefault="002A74BE" w:rsidP="002A74BE">
      <w:pPr>
        <w:pStyle w:val="ListParagraph"/>
        <w:numPr>
          <w:ilvl w:val="0"/>
          <w:numId w:val="32"/>
        </w:numPr>
        <w:spacing w:after="120" w:line="360" w:lineRule="auto"/>
        <w:jc w:val="both"/>
        <w:rPr>
          <w:rFonts w:ascii="Times New Roman" w:hAnsi="Times New Roman"/>
          <w:sz w:val="24"/>
          <w:szCs w:val="24"/>
          <w:lang w:val="en-GB"/>
        </w:rPr>
      </w:pPr>
      <w:r>
        <w:rPr>
          <w:rFonts w:ascii="Times New Roman" w:hAnsi="Times New Roman"/>
          <w:sz w:val="24"/>
          <w:szCs w:val="24"/>
          <w:lang w:val="en-GB"/>
        </w:rPr>
        <w:t>T</w:t>
      </w:r>
      <w:r w:rsidRPr="005517AD">
        <w:rPr>
          <w:rFonts w:ascii="Times New Roman" w:hAnsi="Times New Roman"/>
          <w:sz w:val="24"/>
          <w:szCs w:val="24"/>
          <w:lang w:val="en-GB"/>
        </w:rPr>
        <w:t>otal credit transfers [sent]</w:t>
      </w:r>
      <w:r>
        <w:rPr>
          <w:rFonts w:ascii="Times New Roman" w:hAnsi="Times New Roman"/>
          <w:sz w:val="24"/>
          <w:szCs w:val="24"/>
          <w:lang w:val="en-GB"/>
        </w:rPr>
        <w:t>, reported semi-annually, equal</w:t>
      </w:r>
      <w:r w:rsidRPr="005517AD">
        <w:rPr>
          <w:rFonts w:ascii="Times New Roman" w:hAnsi="Times New Roman"/>
          <w:sz w:val="24"/>
          <w:szCs w:val="24"/>
          <w:lang w:val="en-GB"/>
        </w:rPr>
        <w:t xml:space="preserve"> the sum of those reported quarterly</w:t>
      </w:r>
      <w:r>
        <w:rPr>
          <w:rFonts w:ascii="Times New Roman" w:hAnsi="Times New Roman"/>
          <w:sz w:val="24"/>
          <w:szCs w:val="24"/>
          <w:lang w:val="en-GB"/>
        </w:rPr>
        <w:t>.</w:t>
      </w:r>
    </w:p>
    <w:p w14:paraId="6739F9DE" w14:textId="77777777" w:rsidR="002A74BE" w:rsidRPr="005517AD" w:rsidRDefault="002A74BE" w:rsidP="002A74BE">
      <w:pPr>
        <w:pStyle w:val="ListParagraph"/>
        <w:numPr>
          <w:ilvl w:val="0"/>
          <w:numId w:val="32"/>
        </w:numPr>
        <w:spacing w:after="120" w:line="360" w:lineRule="auto"/>
        <w:jc w:val="both"/>
        <w:rPr>
          <w:rFonts w:ascii="Times New Roman" w:hAnsi="Times New Roman"/>
          <w:sz w:val="24"/>
          <w:szCs w:val="24"/>
          <w:lang w:val="en-GB"/>
        </w:rPr>
      </w:pPr>
      <w:r>
        <w:rPr>
          <w:rFonts w:ascii="Times New Roman" w:hAnsi="Times New Roman"/>
          <w:sz w:val="24"/>
          <w:szCs w:val="24"/>
          <w:lang w:val="en-GB"/>
        </w:rPr>
        <w:t>T</w:t>
      </w:r>
      <w:r w:rsidRPr="005517AD">
        <w:rPr>
          <w:rFonts w:ascii="Times New Roman" w:hAnsi="Times New Roman"/>
          <w:sz w:val="24"/>
          <w:szCs w:val="24"/>
          <w:lang w:val="en-GB"/>
        </w:rPr>
        <w:t>otal direct debits [sent]</w:t>
      </w:r>
      <w:r>
        <w:rPr>
          <w:rFonts w:ascii="Times New Roman" w:hAnsi="Times New Roman"/>
          <w:sz w:val="24"/>
          <w:szCs w:val="24"/>
          <w:lang w:val="en-GB"/>
        </w:rPr>
        <w:t>, reported semi-annually, equal</w:t>
      </w:r>
      <w:r w:rsidRPr="005517AD">
        <w:rPr>
          <w:rFonts w:ascii="Times New Roman" w:hAnsi="Times New Roman"/>
          <w:sz w:val="24"/>
          <w:szCs w:val="24"/>
          <w:lang w:val="en-GB"/>
        </w:rPr>
        <w:t xml:space="preserve"> the sum of those reported quarterly</w:t>
      </w:r>
      <w:r>
        <w:rPr>
          <w:rFonts w:ascii="Times New Roman" w:hAnsi="Times New Roman"/>
          <w:sz w:val="24"/>
          <w:szCs w:val="24"/>
          <w:lang w:val="en-GB"/>
        </w:rPr>
        <w:t>.</w:t>
      </w:r>
    </w:p>
    <w:p w14:paraId="36339A9B" w14:textId="77777777" w:rsidR="002A74BE" w:rsidRPr="005517AD" w:rsidRDefault="002A74BE" w:rsidP="002A74BE">
      <w:pPr>
        <w:pStyle w:val="ListParagraph"/>
        <w:numPr>
          <w:ilvl w:val="0"/>
          <w:numId w:val="32"/>
        </w:numPr>
        <w:spacing w:after="120" w:line="360" w:lineRule="auto"/>
        <w:jc w:val="both"/>
        <w:rPr>
          <w:rFonts w:ascii="Times New Roman" w:hAnsi="Times New Roman"/>
          <w:sz w:val="24"/>
          <w:szCs w:val="24"/>
          <w:lang w:val="en-GB"/>
        </w:rPr>
      </w:pPr>
      <w:r w:rsidRPr="005517AD">
        <w:rPr>
          <w:rFonts w:ascii="Times New Roman" w:hAnsi="Times New Roman"/>
          <w:sz w:val="24"/>
          <w:szCs w:val="24"/>
          <w:lang w:val="en-GB"/>
        </w:rPr>
        <w:t>Total card-based payment transactions [sent], reported semi-annually</w:t>
      </w:r>
      <w:r>
        <w:rPr>
          <w:rStyle w:val="FootnoteReference"/>
          <w:rFonts w:ascii="Times New Roman" w:hAnsi="Times New Roman"/>
          <w:sz w:val="24"/>
          <w:szCs w:val="24"/>
          <w:lang w:val="en-GB"/>
        </w:rPr>
        <w:footnoteReference w:id="103"/>
      </w:r>
      <w:r>
        <w:rPr>
          <w:rFonts w:ascii="Times New Roman" w:hAnsi="Times New Roman"/>
          <w:sz w:val="24"/>
          <w:szCs w:val="24"/>
          <w:lang w:val="en-GB"/>
        </w:rPr>
        <w:t>, equal</w:t>
      </w:r>
      <w:r w:rsidRPr="005517AD">
        <w:rPr>
          <w:rFonts w:ascii="Times New Roman" w:hAnsi="Times New Roman"/>
          <w:sz w:val="24"/>
          <w:szCs w:val="24"/>
          <w:lang w:val="en-GB"/>
        </w:rPr>
        <w:t xml:space="preserve"> the sum of those reported quarterly</w:t>
      </w:r>
      <w:r>
        <w:rPr>
          <w:rFonts w:ascii="Times New Roman" w:hAnsi="Times New Roman"/>
          <w:sz w:val="24"/>
          <w:szCs w:val="24"/>
          <w:lang w:val="en-GB"/>
        </w:rPr>
        <w:t>.</w:t>
      </w:r>
    </w:p>
    <w:p w14:paraId="74BF07CB" w14:textId="77777777" w:rsidR="002A74BE" w:rsidRPr="005517AD" w:rsidRDefault="002A74BE" w:rsidP="002A74BE">
      <w:pPr>
        <w:pStyle w:val="ListParagraph"/>
        <w:numPr>
          <w:ilvl w:val="0"/>
          <w:numId w:val="32"/>
        </w:numPr>
        <w:spacing w:after="120" w:line="360" w:lineRule="auto"/>
        <w:jc w:val="both"/>
        <w:rPr>
          <w:rFonts w:ascii="Times New Roman" w:hAnsi="Times New Roman"/>
          <w:sz w:val="24"/>
          <w:szCs w:val="24"/>
          <w:lang w:val="en-GB"/>
        </w:rPr>
      </w:pPr>
      <w:r w:rsidRPr="005517AD">
        <w:rPr>
          <w:rFonts w:ascii="Times New Roman" w:hAnsi="Times New Roman"/>
          <w:sz w:val="24"/>
          <w:szCs w:val="24"/>
          <w:lang w:val="en-GB"/>
        </w:rPr>
        <w:t>Card-based payment transactions initiated electronically via non-remote payment channel [sent], reported semi-annually, equal the sum of those reported quarterly</w:t>
      </w:r>
      <w:r>
        <w:rPr>
          <w:rFonts w:ascii="Times New Roman" w:hAnsi="Times New Roman"/>
          <w:sz w:val="24"/>
          <w:szCs w:val="24"/>
          <w:lang w:val="en-GB"/>
        </w:rPr>
        <w:t>.</w:t>
      </w:r>
    </w:p>
    <w:p w14:paraId="5F9AEEA1" w14:textId="77777777" w:rsidR="002A74BE" w:rsidRPr="005517AD" w:rsidRDefault="002A74BE" w:rsidP="002A74BE">
      <w:pPr>
        <w:pStyle w:val="ListParagraph"/>
        <w:numPr>
          <w:ilvl w:val="0"/>
          <w:numId w:val="32"/>
        </w:numPr>
        <w:spacing w:after="120" w:line="360" w:lineRule="auto"/>
        <w:jc w:val="both"/>
        <w:rPr>
          <w:rFonts w:ascii="Times New Roman" w:hAnsi="Times New Roman"/>
          <w:sz w:val="24"/>
          <w:szCs w:val="24"/>
          <w:lang w:val="en-GB"/>
        </w:rPr>
      </w:pPr>
      <w:r w:rsidRPr="005517AD">
        <w:rPr>
          <w:rFonts w:ascii="Times New Roman" w:hAnsi="Times New Roman"/>
          <w:sz w:val="24"/>
          <w:szCs w:val="24"/>
          <w:lang w:val="en-GB"/>
        </w:rPr>
        <w:t>Card-based payment transactions initiated electronically via remote payment channel [sent], reported semi-annually, equal the sum of those reported quarterly</w:t>
      </w:r>
      <w:r>
        <w:rPr>
          <w:rFonts w:ascii="Times New Roman" w:hAnsi="Times New Roman"/>
          <w:sz w:val="24"/>
          <w:szCs w:val="24"/>
          <w:lang w:val="en-GB"/>
        </w:rPr>
        <w:t>.</w:t>
      </w:r>
    </w:p>
    <w:p w14:paraId="55C1884E" w14:textId="77777777" w:rsidR="002A74BE" w:rsidRPr="005517AD" w:rsidRDefault="002A74BE" w:rsidP="002A74BE">
      <w:pPr>
        <w:pStyle w:val="ListParagraph"/>
        <w:numPr>
          <w:ilvl w:val="0"/>
          <w:numId w:val="32"/>
        </w:numPr>
        <w:spacing w:after="120" w:line="360" w:lineRule="auto"/>
        <w:jc w:val="both"/>
        <w:rPr>
          <w:rFonts w:ascii="Times New Roman" w:hAnsi="Times New Roman"/>
          <w:sz w:val="24"/>
          <w:szCs w:val="24"/>
          <w:lang w:val="en-GB"/>
        </w:rPr>
      </w:pPr>
      <w:r w:rsidRPr="005517AD">
        <w:rPr>
          <w:rFonts w:ascii="Times New Roman" w:hAnsi="Times New Roman"/>
          <w:sz w:val="24"/>
          <w:szCs w:val="24"/>
          <w:lang w:val="en-GB"/>
        </w:rPr>
        <w:t>E-money transactions [sent], reported semi-annually, equal those reported quarterly</w:t>
      </w:r>
      <w:r>
        <w:rPr>
          <w:rFonts w:ascii="Times New Roman" w:hAnsi="Times New Roman"/>
          <w:sz w:val="24"/>
          <w:szCs w:val="24"/>
          <w:lang w:val="en-GB"/>
        </w:rPr>
        <w:t>.</w:t>
      </w:r>
    </w:p>
    <w:p w14:paraId="7C96EECD" w14:textId="77777777" w:rsidR="002A74BE" w:rsidRDefault="002A74BE" w:rsidP="002A74BE">
      <w:pPr>
        <w:pStyle w:val="ListParagraph"/>
        <w:numPr>
          <w:ilvl w:val="0"/>
          <w:numId w:val="32"/>
        </w:numPr>
        <w:spacing w:after="120" w:line="360" w:lineRule="auto"/>
        <w:jc w:val="both"/>
        <w:rPr>
          <w:rFonts w:ascii="Times New Roman" w:hAnsi="Times New Roman"/>
          <w:sz w:val="24"/>
          <w:szCs w:val="24"/>
          <w:lang w:val="en-GB"/>
        </w:rPr>
      </w:pPr>
      <w:r w:rsidRPr="005517AD">
        <w:rPr>
          <w:rFonts w:ascii="Times New Roman" w:hAnsi="Times New Roman"/>
          <w:sz w:val="24"/>
          <w:szCs w:val="24"/>
          <w:lang w:val="en-GB"/>
        </w:rPr>
        <w:t>Cheques [sent], reported semi-annually, equal the sum of those reported quarterly</w:t>
      </w:r>
      <w:r>
        <w:rPr>
          <w:rFonts w:ascii="Times New Roman" w:hAnsi="Times New Roman"/>
          <w:sz w:val="24"/>
          <w:szCs w:val="24"/>
          <w:lang w:val="en-GB"/>
        </w:rPr>
        <w:t>.</w:t>
      </w:r>
    </w:p>
    <w:p w14:paraId="45541FD7" w14:textId="77777777" w:rsidR="002A74BE" w:rsidRPr="00F20AE1" w:rsidRDefault="002A74BE" w:rsidP="002A74BE">
      <w:pPr>
        <w:spacing w:after="120" w:line="360" w:lineRule="auto"/>
        <w:jc w:val="both"/>
        <w:rPr>
          <w:rFonts w:ascii="Times New Roman" w:hAnsi="Times New Roman"/>
          <w:sz w:val="24"/>
          <w:szCs w:val="24"/>
          <w:lang w:val="en-US"/>
        </w:rPr>
      </w:pPr>
      <w:r>
        <w:rPr>
          <w:rFonts w:ascii="Times New Roman" w:hAnsi="Times New Roman"/>
          <w:sz w:val="24"/>
          <w:szCs w:val="24"/>
          <w:lang w:val="en-US"/>
        </w:rPr>
        <w:lastRenderedPageBreak/>
        <w:t>As regards the</w:t>
      </w:r>
      <w:r w:rsidRPr="00F20AE1">
        <w:rPr>
          <w:rFonts w:ascii="Times New Roman" w:hAnsi="Times New Roman"/>
          <w:sz w:val="24"/>
          <w:szCs w:val="24"/>
          <w:lang w:val="en-US"/>
        </w:rPr>
        <w:t xml:space="preserve"> cross-checks between the semi-annual and the fraudulent </w:t>
      </w:r>
      <w:r>
        <w:rPr>
          <w:rFonts w:ascii="Times New Roman" w:hAnsi="Times New Roman"/>
          <w:sz w:val="24"/>
          <w:szCs w:val="24"/>
          <w:lang w:val="en-US"/>
        </w:rPr>
        <w:t>data,</w:t>
      </w:r>
      <w:r w:rsidRPr="00F20AE1">
        <w:rPr>
          <w:rFonts w:ascii="Times New Roman" w:hAnsi="Times New Roman"/>
          <w:sz w:val="24"/>
          <w:szCs w:val="24"/>
          <w:lang w:val="en-US"/>
        </w:rPr>
        <w:t xml:space="preserve"> the number/ value of transactions in the semi-annual report </w:t>
      </w:r>
      <w:r>
        <w:rPr>
          <w:rFonts w:ascii="Times New Roman" w:hAnsi="Times New Roman"/>
          <w:sz w:val="24"/>
          <w:szCs w:val="24"/>
          <w:lang w:val="en-US"/>
        </w:rPr>
        <w:t>should</w:t>
      </w:r>
      <w:r w:rsidRPr="00F20AE1">
        <w:rPr>
          <w:rFonts w:ascii="Times New Roman" w:hAnsi="Times New Roman"/>
          <w:sz w:val="24"/>
          <w:szCs w:val="24"/>
          <w:lang w:val="en-US"/>
        </w:rPr>
        <w:t xml:space="preserve"> always</w:t>
      </w:r>
      <w:r>
        <w:rPr>
          <w:rFonts w:ascii="Times New Roman" w:hAnsi="Times New Roman"/>
          <w:sz w:val="24"/>
          <w:szCs w:val="24"/>
          <w:lang w:val="en-US"/>
        </w:rPr>
        <w:t xml:space="preserve"> be</w:t>
      </w:r>
      <w:r w:rsidRPr="00F20AE1">
        <w:rPr>
          <w:rFonts w:ascii="Times New Roman" w:hAnsi="Times New Roman"/>
          <w:sz w:val="24"/>
          <w:szCs w:val="24"/>
          <w:lang w:val="en-US"/>
        </w:rPr>
        <w:t xml:space="preserve"> larger or equal to the corresponding total number/ value of the fraudulent transactions for each country combination.</w:t>
      </w:r>
    </w:p>
    <w:p w14:paraId="4B9D0FE9" w14:textId="77777777" w:rsidR="00FD67A6" w:rsidRPr="00FD67A6" w:rsidRDefault="00FD67A6" w:rsidP="002A74BE">
      <w:pPr>
        <w:spacing w:after="120" w:line="360" w:lineRule="auto"/>
        <w:jc w:val="both"/>
        <w:rPr>
          <w:rFonts w:ascii="Times New Roman" w:hAnsi="Times New Roman"/>
          <w:sz w:val="24"/>
          <w:szCs w:val="24"/>
          <w:lang w:val="en-GB"/>
        </w:rPr>
      </w:pPr>
      <w:r w:rsidRPr="00FD67A6">
        <w:rPr>
          <w:rFonts w:ascii="Times New Roman" w:hAnsi="Times New Roman"/>
          <w:sz w:val="24"/>
          <w:szCs w:val="24"/>
          <w:lang w:val="en-GB"/>
        </w:rPr>
        <w:t xml:space="preserve">In case of no material errors, the status of your submission will be flagged as ‘Accepted’ and considered to be successful. </w:t>
      </w:r>
    </w:p>
    <w:p w14:paraId="15BBE44F" w14:textId="3ADDC410" w:rsidR="00FD67A6" w:rsidRPr="00FD67A6" w:rsidRDefault="00FD67A6" w:rsidP="002A74BE">
      <w:pPr>
        <w:spacing w:after="120" w:line="360" w:lineRule="auto"/>
        <w:jc w:val="both"/>
        <w:rPr>
          <w:rFonts w:ascii="Times New Roman" w:hAnsi="Times New Roman"/>
          <w:sz w:val="24"/>
          <w:szCs w:val="24"/>
          <w:lang w:val="en-GB"/>
        </w:rPr>
      </w:pPr>
      <w:r w:rsidRPr="00FD67A6">
        <w:rPr>
          <w:rFonts w:ascii="Times New Roman" w:hAnsi="Times New Roman"/>
          <w:sz w:val="24"/>
          <w:szCs w:val="24"/>
          <w:lang w:val="en-GB"/>
        </w:rPr>
        <w:t xml:space="preserve">However, in case of the existence of material errors, you will receive an </w:t>
      </w:r>
      <w:r w:rsidRPr="00FD67A6">
        <w:rPr>
          <w:rFonts w:ascii="Times New Roman" w:hAnsi="Times New Roman"/>
          <w:sz w:val="24"/>
          <w:szCs w:val="24"/>
          <w:u w:val="single"/>
          <w:lang w:val="en-GB"/>
        </w:rPr>
        <w:t>‘Error File’</w:t>
      </w:r>
      <w:r w:rsidRPr="00FD67A6">
        <w:rPr>
          <w:rFonts w:ascii="Times New Roman" w:hAnsi="Times New Roman"/>
          <w:sz w:val="24"/>
          <w:szCs w:val="24"/>
          <w:lang w:val="en-GB"/>
        </w:rPr>
        <w:t xml:space="preserve"> and the status of your submission will be flagged as ‘Rejected’ (see below ‘Screenshot 1’). The ‘Error File’ basically presents a summary of the identified mistakes aimed to facilitate your review. The ‘Error file’ may contain approximately up to 100 errors, thus a subset of errors shall be presented therein, in the case of the existence of more errors. For the successful submission of the templates, all errors must be corrected. It is noted that, in case of the existence of few errors, the errors - which need to be corrected - will be presented directly in the screen (see below ‘Screenshot 2’), instead of receiving a separate ‘Error file’. Once you correct the errors, you need to resubmit the semi-annual template(s) and make sure that the status of your submission is flagged as ‘Accepted’ and thus, considered to be successful. </w:t>
      </w:r>
    </w:p>
    <w:p w14:paraId="600AC8C7" w14:textId="01C4891E" w:rsidR="00FD67A6" w:rsidRPr="00FD67A6" w:rsidRDefault="00FD67A6" w:rsidP="00FD67A6">
      <w:pPr>
        <w:spacing w:after="120" w:line="360" w:lineRule="auto"/>
        <w:jc w:val="both"/>
        <w:rPr>
          <w:rFonts w:ascii="Times New Roman" w:hAnsi="Times New Roman"/>
          <w:sz w:val="24"/>
          <w:szCs w:val="24"/>
          <w:lang w:val="en-GB"/>
        </w:rPr>
      </w:pPr>
      <w:r w:rsidRPr="00FD67A6">
        <w:rPr>
          <w:rFonts w:ascii="Times New Roman" w:hAnsi="Times New Roman"/>
          <w:sz w:val="24"/>
          <w:szCs w:val="24"/>
          <w:lang w:val="en-GB"/>
        </w:rPr>
        <w:t xml:space="preserve">It is important to note that in the event where, the errors presented require revisions of the corresponding quarterly files, you </w:t>
      </w:r>
      <w:r w:rsidRPr="00FD67A6">
        <w:rPr>
          <w:rFonts w:ascii="Times New Roman" w:hAnsi="Times New Roman"/>
          <w:b/>
          <w:bCs/>
          <w:sz w:val="24"/>
          <w:szCs w:val="24"/>
          <w:u w:val="single"/>
          <w:lang w:val="en-GB"/>
        </w:rPr>
        <w:t>should first</w:t>
      </w:r>
      <w:r w:rsidRPr="00FD67A6">
        <w:rPr>
          <w:rFonts w:ascii="Times New Roman" w:hAnsi="Times New Roman"/>
          <w:sz w:val="24"/>
          <w:szCs w:val="24"/>
          <w:lang w:val="en-GB"/>
        </w:rPr>
        <w:t xml:space="preserve"> proceed with the re-submission of the revised quarterly files </w:t>
      </w:r>
      <w:r w:rsidRPr="00FD67A6">
        <w:rPr>
          <w:rFonts w:ascii="Times New Roman" w:hAnsi="Times New Roman"/>
          <w:b/>
          <w:bCs/>
          <w:sz w:val="24"/>
          <w:szCs w:val="24"/>
          <w:u w:val="single"/>
          <w:lang w:val="en-GB"/>
        </w:rPr>
        <w:t xml:space="preserve">and </w:t>
      </w:r>
      <w:r w:rsidRPr="00FD67A6">
        <w:rPr>
          <w:rFonts w:ascii="Times New Roman" w:hAnsi="Times New Roman"/>
          <w:sz w:val="24"/>
          <w:szCs w:val="24"/>
          <w:lang w:val="en-GB"/>
        </w:rPr>
        <w:t xml:space="preserve">accordingly </w:t>
      </w:r>
      <w:r w:rsidRPr="00FD67A6">
        <w:rPr>
          <w:rFonts w:ascii="Times New Roman" w:hAnsi="Times New Roman"/>
          <w:b/>
          <w:bCs/>
          <w:sz w:val="24"/>
          <w:szCs w:val="24"/>
          <w:lang w:val="en-GB"/>
        </w:rPr>
        <w:t>inform the CBC as to review the quarterly file(s)</w:t>
      </w:r>
      <w:r w:rsidRPr="00FD67A6">
        <w:rPr>
          <w:rFonts w:ascii="Times New Roman" w:hAnsi="Times New Roman"/>
          <w:sz w:val="24"/>
          <w:szCs w:val="24"/>
          <w:lang w:val="en-GB"/>
        </w:rPr>
        <w:t xml:space="preserve"> and</w:t>
      </w:r>
      <w:r w:rsidRPr="00FD67A6">
        <w:rPr>
          <w:rFonts w:ascii="Times New Roman" w:hAnsi="Times New Roman"/>
          <w:b/>
          <w:bCs/>
          <w:sz w:val="24"/>
          <w:szCs w:val="24"/>
          <w:u w:val="single"/>
          <w:lang w:val="en-GB"/>
        </w:rPr>
        <w:t xml:space="preserve"> then</w:t>
      </w:r>
      <w:r w:rsidRPr="00FD67A6">
        <w:rPr>
          <w:rFonts w:ascii="Times New Roman" w:hAnsi="Times New Roman"/>
          <w:sz w:val="24"/>
          <w:szCs w:val="24"/>
          <w:lang w:val="en-GB"/>
        </w:rPr>
        <w:t xml:space="preserve">, you should resubmit the semi-annual file(s). </w:t>
      </w:r>
      <w:r>
        <w:rPr>
          <w:rFonts w:ascii="Times New Roman" w:hAnsi="Times New Roman"/>
          <w:sz w:val="24"/>
          <w:szCs w:val="24"/>
          <w:lang w:val="en-GB"/>
        </w:rPr>
        <w:t>I</w:t>
      </w:r>
      <w:r w:rsidRPr="00FD67A6">
        <w:rPr>
          <w:rFonts w:ascii="Times New Roman" w:hAnsi="Times New Roman"/>
          <w:sz w:val="24"/>
          <w:szCs w:val="24"/>
          <w:lang w:val="en-GB"/>
        </w:rPr>
        <w:t xml:space="preserve">n the event where, the errors </w:t>
      </w:r>
      <w:r>
        <w:rPr>
          <w:rFonts w:ascii="Times New Roman" w:hAnsi="Times New Roman"/>
          <w:sz w:val="24"/>
          <w:szCs w:val="24"/>
          <w:lang w:val="en-GB"/>
        </w:rPr>
        <w:t>relate to cross-checks between the semi-annual and fraud data</w:t>
      </w:r>
      <w:r w:rsidRPr="00FD67A6">
        <w:rPr>
          <w:rFonts w:ascii="Times New Roman" w:hAnsi="Times New Roman"/>
          <w:sz w:val="24"/>
          <w:szCs w:val="24"/>
          <w:lang w:val="en-GB"/>
        </w:rPr>
        <w:t xml:space="preserve">, you </w:t>
      </w:r>
      <w:r w:rsidRPr="00FD67A6">
        <w:rPr>
          <w:rFonts w:ascii="Times New Roman" w:hAnsi="Times New Roman"/>
          <w:b/>
          <w:bCs/>
          <w:sz w:val="24"/>
          <w:szCs w:val="24"/>
          <w:u w:val="single"/>
          <w:lang w:val="en-GB"/>
        </w:rPr>
        <w:t>should first</w:t>
      </w:r>
      <w:r w:rsidRPr="00FD67A6">
        <w:rPr>
          <w:rFonts w:ascii="Times New Roman" w:hAnsi="Times New Roman"/>
          <w:sz w:val="24"/>
          <w:szCs w:val="24"/>
          <w:lang w:val="en-GB"/>
        </w:rPr>
        <w:t xml:space="preserve"> proceed with the re-submission of the </w:t>
      </w:r>
      <w:r>
        <w:rPr>
          <w:rFonts w:ascii="Times New Roman" w:hAnsi="Times New Roman"/>
          <w:sz w:val="24"/>
          <w:szCs w:val="24"/>
          <w:lang w:val="en-GB"/>
        </w:rPr>
        <w:t>semi-annual</w:t>
      </w:r>
      <w:r w:rsidRPr="00FD67A6">
        <w:rPr>
          <w:rFonts w:ascii="Times New Roman" w:hAnsi="Times New Roman"/>
          <w:sz w:val="24"/>
          <w:szCs w:val="24"/>
          <w:lang w:val="en-GB"/>
        </w:rPr>
        <w:t xml:space="preserve"> file</w:t>
      </w:r>
      <w:r w:rsidR="00D31537">
        <w:rPr>
          <w:rFonts w:ascii="Times New Roman" w:hAnsi="Times New Roman"/>
          <w:sz w:val="24"/>
          <w:szCs w:val="24"/>
          <w:lang w:val="en-GB"/>
        </w:rPr>
        <w:t xml:space="preserve"> </w:t>
      </w:r>
      <w:r w:rsidRPr="00FD67A6">
        <w:rPr>
          <w:rFonts w:ascii="Times New Roman" w:hAnsi="Times New Roman"/>
          <w:sz w:val="24"/>
          <w:szCs w:val="24"/>
          <w:lang w:val="en-GB"/>
        </w:rPr>
        <w:t>and</w:t>
      </w:r>
      <w:r w:rsidRPr="00FD67A6">
        <w:rPr>
          <w:rFonts w:ascii="Times New Roman" w:hAnsi="Times New Roman"/>
          <w:b/>
          <w:bCs/>
          <w:sz w:val="24"/>
          <w:szCs w:val="24"/>
          <w:u w:val="single"/>
          <w:lang w:val="en-GB"/>
        </w:rPr>
        <w:t xml:space="preserve"> then</w:t>
      </w:r>
      <w:r w:rsidRPr="00FD67A6">
        <w:rPr>
          <w:rFonts w:ascii="Times New Roman" w:hAnsi="Times New Roman"/>
          <w:sz w:val="24"/>
          <w:szCs w:val="24"/>
          <w:lang w:val="en-GB"/>
        </w:rPr>
        <w:t xml:space="preserve">, you should resubmit the </w:t>
      </w:r>
      <w:r w:rsidR="002A74BE">
        <w:rPr>
          <w:rFonts w:ascii="Times New Roman" w:hAnsi="Times New Roman"/>
          <w:sz w:val="24"/>
          <w:szCs w:val="24"/>
          <w:lang w:val="en-GB"/>
        </w:rPr>
        <w:t xml:space="preserve">fraud </w:t>
      </w:r>
      <w:r w:rsidRPr="00FD67A6">
        <w:rPr>
          <w:rFonts w:ascii="Times New Roman" w:hAnsi="Times New Roman"/>
          <w:sz w:val="24"/>
          <w:szCs w:val="24"/>
          <w:lang w:val="en-GB"/>
        </w:rPr>
        <w:t xml:space="preserve">file. </w:t>
      </w:r>
    </w:p>
    <w:p w14:paraId="593D6376" w14:textId="77777777" w:rsidR="002A74BE" w:rsidRPr="002A74BE" w:rsidRDefault="002A74BE" w:rsidP="002A74BE">
      <w:pPr>
        <w:spacing w:after="120" w:line="360" w:lineRule="auto"/>
        <w:jc w:val="both"/>
        <w:rPr>
          <w:rFonts w:ascii="Times New Roman" w:hAnsi="Times New Roman"/>
          <w:i/>
          <w:iCs/>
          <w:sz w:val="24"/>
          <w:szCs w:val="24"/>
          <w:u w:val="single"/>
          <w:lang w:val="en-GB"/>
        </w:rPr>
      </w:pPr>
      <w:r w:rsidRPr="002A74BE">
        <w:rPr>
          <w:rFonts w:ascii="Times New Roman" w:hAnsi="Times New Roman"/>
          <w:i/>
          <w:iCs/>
          <w:sz w:val="24"/>
          <w:szCs w:val="24"/>
          <w:u w:val="single"/>
          <w:lang w:val="en-GB"/>
        </w:rPr>
        <w:t>Screenshot 1</w:t>
      </w:r>
    </w:p>
    <w:p w14:paraId="231D8361" w14:textId="6430DC90" w:rsidR="002A74BE" w:rsidRPr="002A74BE" w:rsidRDefault="002114E0" w:rsidP="002A74BE">
      <w:pPr>
        <w:spacing w:after="120" w:line="360" w:lineRule="auto"/>
        <w:jc w:val="both"/>
        <w:rPr>
          <w:rFonts w:ascii="Times New Roman" w:hAnsi="Times New Roman"/>
          <w:sz w:val="24"/>
          <w:szCs w:val="24"/>
          <w:u w:val="single"/>
          <w:lang w:val="en-GB"/>
        </w:rPr>
      </w:pPr>
      <w:r w:rsidRPr="002A74BE">
        <w:rPr>
          <w:rFonts w:ascii="Times New Roman" w:hAnsi="Times New Roman"/>
          <w:noProof/>
          <w:sz w:val="24"/>
          <w:szCs w:val="24"/>
        </w:rPr>
        <w:lastRenderedPageBreak/>
        <w:drawing>
          <wp:inline distT="0" distB="0" distL="0" distR="0" wp14:anchorId="418A725B" wp14:editId="4559BB63">
            <wp:extent cx="6189345" cy="3415030"/>
            <wp:effectExtent l="0" t="0" r="1905" b="0"/>
            <wp:docPr id="613362539"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62539" name="Picture 6" descr="A screenshot of a computer&#10;&#10;AI-generated content may be incorrect."/>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189345" cy="3415030"/>
                    </a:xfrm>
                    <a:prstGeom prst="rect">
                      <a:avLst/>
                    </a:prstGeom>
                    <a:noFill/>
                    <a:ln>
                      <a:noFill/>
                    </a:ln>
                  </pic:spPr>
                </pic:pic>
              </a:graphicData>
            </a:graphic>
          </wp:inline>
        </w:drawing>
      </w:r>
    </w:p>
    <w:p w14:paraId="37B49D8D" w14:textId="77777777" w:rsidR="002A74BE" w:rsidRPr="002A74BE" w:rsidRDefault="002A74BE" w:rsidP="002A74BE">
      <w:pPr>
        <w:spacing w:after="120" w:line="360" w:lineRule="auto"/>
        <w:jc w:val="both"/>
        <w:rPr>
          <w:rFonts w:ascii="Times New Roman" w:hAnsi="Times New Roman"/>
          <w:i/>
          <w:iCs/>
          <w:sz w:val="24"/>
          <w:szCs w:val="24"/>
          <w:u w:val="single"/>
          <w:lang w:val="en-GB"/>
        </w:rPr>
      </w:pPr>
      <w:r w:rsidRPr="002A74BE">
        <w:rPr>
          <w:rFonts w:ascii="Times New Roman" w:hAnsi="Times New Roman"/>
          <w:i/>
          <w:iCs/>
          <w:sz w:val="24"/>
          <w:szCs w:val="24"/>
          <w:u w:val="single"/>
          <w:lang w:val="en-GB"/>
        </w:rPr>
        <w:t>Screenshot 2</w:t>
      </w:r>
    </w:p>
    <w:p w14:paraId="270CE9FD" w14:textId="03A93360" w:rsidR="002A74BE" w:rsidRPr="002A74BE" w:rsidRDefault="002114E0" w:rsidP="002A74BE">
      <w:pPr>
        <w:spacing w:after="120" w:line="360" w:lineRule="auto"/>
        <w:jc w:val="both"/>
        <w:rPr>
          <w:rFonts w:ascii="Times New Roman" w:hAnsi="Times New Roman"/>
          <w:sz w:val="24"/>
          <w:szCs w:val="24"/>
          <w:lang w:val="en-GB"/>
        </w:rPr>
      </w:pPr>
      <w:r w:rsidRPr="002A74BE">
        <w:rPr>
          <w:rFonts w:ascii="Times New Roman" w:hAnsi="Times New Roman"/>
          <w:noProof/>
          <w:sz w:val="24"/>
          <w:szCs w:val="24"/>
        </w:rPr>
        <w:drawing>
          <wp:inline distT="0" distB="0" distL="0" distR="0" wp14:anchorId="0D248A3F" wp14:editId="1E76ADF1">
            <wp:extent cx="6189345" cy="4742815"/>
            <wp:effectExtent l="0" t="0" r="1905" b="635"/>
            <wp:docPr id="79920377"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0377" name="Picture 5" descr="A screenshot of a computer&#10;&#10;AI-generated content may be incorrect."/>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6189345" cy="4742815"/>
                    </a:xfrm>
                    <a:prstGeom prst="rect">
                      <a:avLst/>
                    </a:prstGeom>
                    <a:noFill/>
                    <a:ln>
                      <a:noFill/>
                    </a:ln>
                  </pic:spPr>
                </pic:pic>
              </a:graphicData>
            </a:graphic>
          </wp:inline>
        </w:drawing>
      </w:r>
    </w:p>
    <w:p w14:paraId="36BE6A18" w14:textId="03F1BFE4" w:rsidR="00591697" w:rsidRPr="00760F3B" w:rsidRDefault="00591697" w:rsidP="00760F3B">
      <w:pPr>
        <w:pStyle w:val="Heading1"/>
        <w:jc w:val="both"/>
      </w:pPr>
      <w:bookmarkStart w:id="56" w:name="_Toc221126457"/>
      <w:r w:rsidRPr="00760F3B">
        <w:lastRenderedPageBreak/>
        <w:t>Revision policy</w:t>
      </w:r>
      <w:bookmarkEnd w:id="56"/>
    </w:p>
    <w:p w14:paraId="41F8E93E" w14:textId="589FF73E" w:rsidR="0026329E" w:rsidRPr="0026329E" w:rsidRDefault="000639FF" w:rsidP="00104A86">
      <w:pPr>
        <w:spacing w:after="120" w:line="360" w:lineRule="auto"/>
        <w:jc w:val="both"/>
        <w:rPr>
          <w:rFonts w:ascii="Times New Roman" w:hAnsi="Times New Roman"/>
          <w:sz w:val="24"/>
          <w:szCs w:val="24"/>
          <w:lang w:val="en-GB"/>
        </w:rPr>
      </w:pPr>
      <w:r>
        <w:rPr>
          <w:rFonts w:ascii="Times New Roman" w:eastAsiaTheme="minorHAnsi" w:hAnsi="Times New Roman"/>
          <w:color w:val="000000"/>
          <w:sz w:val="24"/>
          <w:szCs w:val="24"/>
          <w:lang w:val="en-GB" w:eastAsia="en-US"/>
        </w:rPr>
        <w:t>Reporting A</w:t>
      </w:r>
      <w:r w:rsidR="00104A86" w:rsidRPr="00104A86">
        <w:rPr>
          <w:rFonts w:ascii="Times New Roman" w:eastAsiaTheme="minorHAnsi" w:hAnsi="Times New Roman"/>
          <w:color w:val="000000"/>
          <w:sz w:val="24"/>
          <w:szCs w:val="24"/>
          <w:lang w:val="en-GB" w:eastAsia="en-US"/>
        </w:rPr>
        <w:t>gents</w:t>
      </w:r>
      <w:r w:rsidR="0026329E" w:rsidRPr="0026329E">
        <w:rPr>
          <w:rFonts w:ascii="Times New Roman" w:eastAsiaTheme="minorHAnsi" w:hAnsi="Times New Roman"/>
          <w:color w:val="000000"/>
          <w:sz w:val="24"/>
          <w:szCs w:val="24"/>
          <w:lang w:val="en-GB" w:eastAsia="en-US"/>
        </w:rPr>
        <w:t xml:space="preserve"> may revise </w:t>
      </w:r>
      <w:r w:rsidR="00104A86" w:rsidRPr="00104A86">
        <w:rPr>
          <w:rFonts w:ascii="Times New Roman" w:hAnsi="Times New Roman"/>
          <w:sz w:val="24"/>
          <w:szCs w:val="24"/>
          <w:lang w:val="en-GB"/>
        </w:rPr>
        <w:t xml:space="preserve">the </w:t>
      </w:r>
      <w:r w:rsidR="00461110">
        <w:rPr>
          <w:rFonts w:ascii="Times New Roman" w:hAnsi="Times New Roman"/>
          <w:sz w:val="24"/>
          <w:szCs w:val="24"/>
          <w:lang w:val="en-GB"/>
        </w:rPr>
        <w:t>statistical data</w:t>
      </w:r>
      <w:r w:rsidR="0026329E" w:rsidRPr="0026329E">
        <w:rPr>
          <w:rFonts w:ascii="Times New Roman" w:eastAsiaTheme="minorHAnsi" w:hAnsi="Times New Roman"/>
          <w:color w:val="000000"/>
          <w:sz w:val="24"/>
          <w:szCs w:val="24"/>
          <w:lang w:val="en-GB" w:eastAsia="en-US"/>
        </w:rPr>
        <w:t xml:space="preserve"> </w:t>
      </w:r>
      <w:r w:rsidR="0026329E" w:rsidRPr="0026329E">
        <w:rPr>
          <w:rFonts w:ascii="Times New Roman" w:hAnsi="Times New Roman"/>
          <w:sz w:val="24"/>
          <w:szCs w:val="24"/>
          <w:lang w:val="en-GB"/>
        </w:rPr>
        <w:t xml:space="preserve">referring to the previous reference </w:t>
      </w:r>
      <w:r w:rsidR="00104A86" w:rsidRPr="00104A86">
        <w:rPr>
          <w:rFonts w:ascii="Times New Roman" w:hAnsi="Times New Roman"/>
          <w:sz w:val="24"/>
          <w:szCs w:val="24"/>
          <w:lang w:val="en-GB"/>
        </w:rPr>
        <w:t>periods</w:t>
      </w:r>
      <w:r w:rsidR="0026329E" w:rsidRPr="0026329E">
        <w:rPr>
          <w:rFonts w:ascii="Times New Roman" w:hAnsi="Times New Roman"/>
          <w:sz w:val="24"/>
          <w:szCs w:val="24"/>
          <w:lang w:val="en-GB"/>
        </w:rPr>
        <w:t xml:space="preserve"> prior to that should such a need arise. Revisi</w:t>
      </w:r>
      <w:r w:rsidR="00104A86">
        <w:rPr>
          <w:rFonts w:ascii="Times New Roman" w:hAnsi="Times New Roman"/>
          <w:sz w:val="24"/>
          <w:szCs w:val="24"/>
          <w:lang w:val="en-GB"/>
        </w:rPr>
        <w:t>ons may arise from, for example</w:t>
      </w:r>
      <w:r w:rsidR="0026329E" w:rsidRPr="0026329E">
        <w:rPr>
          <w:rFonts w:ascii="Times New Roman" w:hAnsi="Times New Roman"/>
          <w:sz w:val="24"/>
          <w:szCs w:val="24"/>
          <w:lang w:val="en-GB"/>
        </w:rPr>
        <w:t xml:space="preserve"> mistakes, reclassifications, improved reporting procedure. </w:t>
      </w:r>
      <w:r>
        <w:rPr>
          <w:rFonts w:ascii="Times New Roman" w:hAnsi="Times New Roman"/>
          <w:sz w:val="24"/>
          <w:szCs w:val="24"/>
          <w:lang w:val="en-GB"/>
        </w:rPr>
        <w:t>Reporting A</w:t>
      </w:r>
      <w:r w:rsidR="00104A86">
        <w:rPr>
          <w:rFonts w:ascii="Times New Roman" w:hAnsi="Times New Roman"/>
          <w:sz w:val="24"/>
          <w:szCs w:val="24"/>
          <w:lang w:val="en-GB"/>
        </w:rPr>
        <w:t>gents</w:t>
      </w:r>
      <w:r w:rsidR="0026329E" w:rsidRPr="0026329E">
        <w:rPr>
          <w:rFonts w:ascii="Times New Roman" w:hAnsi="Times New Roman"/>
          <w:sz w:val="24"/>
          <w:szCs w:val="24"/>
          <w:lang w:val="en-GB"/>
        </w:rPr>
        <w:t xml:space="preserve"> shall not systematically revise the data for the period prior to the previous reference month. </w:t>
      </w:r>
    </w:p>
    <w:p w14:paraId="0518D727" w14:textId="06D6AA7E" w:rsidR="00180D7F" w:rsidRDefault="0026329E" w:rsidP="0026329E">
      <w:pPr>
        <w:spacing w:after="120" w:line="360" w:lineRule="auto"/>
        <w:jc w:val="both"/>
        <w:rPr>
          <w:rFonts w:ascii="Times New Roman" w:hAnsi="Times New Roman"/>
          <w:sz w:val="24"/>
          <w:szCs w:val="24"/>
          <w:lang w:val="en-GB"/>
        </w:rPr>
      </w:pPr>
      <w:proofErr w:type="gramStart"/>
      <w:r w:rsidRPr="00104A86">
        <w:rPr>
          <w:rFonts w:ascii="Times New Roman" w:hAnsi="Times New Roman"/>
          <w:sz w:val="24"/>
          <w:szCs w:val="24"/>
          <w:lang w:val="en-GB"/>
        </w:rPr>
        <w:t>In order to</w:t>
      </w:r>
      <w:proofErr w:type="gramEnd"/>
      <w:r w:rsidRPr="00104A86">
        <w:rPr>
          <w:rFonts w:ascii="Times New Roman" w:hAnsi="Times New Roman"/>
          <w:sz w:val="24"/>
          <w:szCs w:val="24"/>
          <w:lang w:val="en-GB"/>
        </w:rPr>
        <w:t xml:space="preserve"> submit revisions, the CBC should be notified accordingly, in advance and revisions should be explained to the CBC by means of detailed written notes.</w:t>
      </w:r>
    </w:p>
    <w:p w14:paraId="2502AEAA" w14:textId="77777777" w:rsidR="00263297" w:rsidRPr="00263297" w:rsidRDefault="00263297" w:rsidP="00263297">
      <w:pPr>
        <w:pStyle w:val="Heading1"/>
        <w:jc w:val="both"/>
      </w:pPr>
      <w:bookmarkStart w:id="57" w:name="_Toc221126458"/>
      <w:r>
        <w:t>I</w:t>
      </w:r>
      <w:r w:rsidRPr="00263297">
        <w:t>nfringement procedures in cases of non-compliance</w:t>
      </w:r>
      <w:bookmarkEnd w:id="57"/>
    </w:p>
    <w:p w14:paraId="05DF5D0B" w14:textId="24CA1677" w:rsidR="00161821" w:rsidRDefault="00263297" w:rsidP="00263297">
      <w:pPr>
        <w:spacing w:after="120" w:line="360" w:lineRule="auto"/>
        <w:jc w:val="both"/>
        <w:rPr>
          <w:rFonts w:ascii="Times New Roman" w:hAnsi="Times New Roman"/>
          <w:sz w:val="24"/>
          <w:szCs w:val="24"/>
          <w:lang w:val="en-GB"/>
        </w:rPr>
      </w:pPr>
      <w:hyperlink r:id="rId14" w:history="1">
        <w:r w:rsidRPr="00906B2D">
          <w:rPr>
            <w:rStyle w:val="Hyperlink"/>
            <w:rFonts w:ascii="Times New Roman" w:hAnsi="Times New Roman"/>
            <w:sz w:val="24"/>
            <w:szCs w:val="24"/>
            <w:lang w:val="en-GB"/>
          </w:rPr>
          <w:t xml:space="preserve">Regulation </w:t>
        </w:r>
        <w:r w:rsidR="00906B2D" w:rsidRPr="00906B2D">
          <w:rPr>
            <w:rStyle w:val="Hyperlink"/>
            <w:rFonts w:ascii="Times New Roman" w:hAnsi="Times New Roman"/>
            <w:sz w:val="24"/>
            <w:szCs w:val="24"/>
            <w:lang w:val="en-GB"/>
          </w:rPr>
          <w:t>ECB/2022/31</w:t>
        </w:r>
      </w:hyperlink>
      <w:r w:rsidRPr="00263297">
        <w:rPr>
          <w:rFonts w:ascii="Times New Roman" w:hAnsi="Times New Roman"/>
          <w:sz w:val="24"/>
          <w:szCs w:val="24"/>
          <w:lang w:val="en-GB"/>
        </w:rPr>
        <w:t xml:space="preserve"> refers to</w:t>
      </w:r>
      <w:r w:rsidR="00906B2D">
        <w:rPr>
          <w:rFonts w:ascii="Times New Roman" w:hAnsi="Times New Roman"/>
          <w:sz w:val="24"/>
          <w:szCs w:val="24"/>
          <w:lang w:val="en-GB"/>
        </w:rPr>
        <w:t xml:space="preserve"> the</w:t>
      </w:r>
      <w:r w:rsidRPr="00263297">
        <w:rPr>
          <w:rFonts w:ascii="Times New Roman" w:hAnsi="Times New Roman"/>
          <w:sz w:val="24"/>
          <w:szCs w:val="24"/>
          <w:lang w:val="en-GB"/>
        </w:rPr>
        <w:t xml:space="preserve"> infringement procedures in cases of non-compliance with statistical reporting requirements</w:t>
      </w:r>
      <w:r w:rsidR="004A1C0E">
        <w:rPr>
          <w:rFonts w:ascii="Times New Roman" w:hAnsi="Times New Roman"/>
          <w:sz w:val="24"/>
          <w:szCs w:val="24"/>
          <w:lang w:val="en-GB"/>
        </w:rPr>
        <w:t xml:space="preserve"> by the reporting agents</w:t>
      </w:r>
      <w:r w:rsidRPr="00263297">
        <w:rPr>
          <w:rFonts w:ascii="Times New Roman" w:hAnsi="Times New Roman"/>
          <w:sz w:val="24"/>
          <w:szCs w:val="24"/>
          <w:lang w:val="en-GB"/>
        </w:rPr>
        <w:t>.</w:t>
      </w:r>
      <w:r>
        <w:rPr>
          <w:rFonts w:ascii="Times New Roman" w:hAnsi="Times New Roman"/>
          <w:sz w:val="24"/>
          <w:szCs w:val="24"/>
          <w:lang w:val="en-GB"/>
        </w:rPr>
        <w:t xml:space="preserve"> </w:t>
      </w:r>
      <w:r w:rsidR="001659BA">
        <w:rPr>
          <w:rFonts w:ascii="Times New Roman" w:hAnsi="Times New Roman"/>
          <w:sz w:val="24"/>
          <w:szCs w:val="24"/>
          <w:lang w:val="en-GB"/>
        </w:rPr>
        <w:t xml:space="preserve">It determines </w:t>
      </w:r>
      <w:r w:rsidR="00F05308" w:rsidRPr="00F05308">
        <w:rPr>
          <w:rFonts w:ascii="Times New Roman" w:hAnsi="Times New Roman"/>
          <w:sz w:val="24"/>
          <w:szCs w:val="24"/>
          <w:lang w:val="en-GB"/>
        </w:rPr>
        <w:t>- inter alia - </w:t>
      </w:r>
      <w:r w:rsidR="001659BA">
        <w:rPr>
          <w:rFonts w:ascii="Times New Roman" w:hAnsi="Times New Roman"/>
          <w:sz w:val="24"/>
          <w:szCs w:val="24"/>
          <w:lang w:val="en-GB"/>
        </w:rPr>
        <w:t xml:space="preserve">the procedures according to which sanctions may be imposed by the ECB on reporting agents pursuant to Article 7(1) of </w:t>
      </w:r>
      <w:r w:rsidR="001659BA" w:rsidRPr="001659BA">
        <w:rPr>
          <w:rFonts w:ascii="Times New Roman" w:hAnsi="Times New Roman"/>
          <w:sz w:val="24"/>
          <w:szCs w:val="24"/>
          <w:lang w:val="en-GB"/>
        </w:rPr>
        <w:t xml:space="preserve">Regulation (EC) No 2533/98 and Article 6(2) of Regulation (EC) No 2532/98. </w:t>
      </w:r>
      <w:hyperlink r:id="rId15" w:history="1">
        <w:r w:rsidR="001659BA" w:rsidRPr="00F05308">
          <w:rPr>
            <w:rFonts w:ascii="Times New Roman" w:hAnsi="Times New Roman"/>
            <w:sz w:val="24"/>
            <w:szCs w:val="24"/>
            <w:lang w:val="en-GB"/>
          </w:rPr>
          <w:t>Regulation ECB/2022/31</w:t>
        </w:r>
      </w:hyperlink>
      <w:r w:rsidR="001659BA">
        <w:rPr>
          <w:rFonts w:ascii="Times New Roman" w:hAnsi="Times New Roman"/>
          <w:sz w:val="24"/>
          <w:szCs w:val="24"/>
          <w:lang w:val="en-GB"/>
        </w:rPr>
        <w:t xml:space="preserve"> </w:t>
      </w:r>
      <w:r w:rsidR="00A37C93">
        <w:rPr>
          <w:rFonts w:ascii="Times New Roman" w:hAnsi="Times New Roman"/>
          <w:sz w:val="24"/>
          <w:szCs w:val="24"/>
          <w:lang w:val="en-GB"/>
        </w:rPr>
        <w:t xml:space="preserve">shall apply from 30 April 2024. </w:t>
      </w:r>
    </w:p>
    <w:p w14:paraId="57BA4A12" w14:textId="7FC557FA" w:rsidR="00F947A5" w:rsidRPr="00F947A5" w:rsidRDefault="00F947A5" w:rsidP="00F947A5">
      <w:pPr>
        <w:spacing w:after="120" w:line="360" w:lineRule="auto"/>
        <w:jc w:val="both"/>
        <w:rPr>
          <w:rFonts w:cs="Arial"/>
          <w:snapToGrid w:val="0"/>
          <w:sz w:val="20"/>
          <w:lang w:val="en-GB" w:eastAsia="en-US"/>
        </w:rPr>
      </w:pPr>
      <w:r w:rsidRPr="00F947A5">
        <w:rPr>
          <w:rFonts w:ascii="Times New Roman" w:hAnsi="Times New Roman"/>
          <w:sz w:val="24"/>
          <w:szCs w:val="24"/>
          <w:lang w:val="en-GB"/>
        </w:rPr>
        <w:t xml:space="preserve">On 25 May 2023 the Governing Council adopted </w:t>
      </w:r>
      <w:hyperlink r:id="rId16" w:history="1">
        <w:r w:rsidRPr="00F947A5">
          <w:rPr>
            <w:rStyle w:val="Hyperlink"/>
            <w:rFonts w:ascii="Times New Roman" w:hAnsi="Times New Roman"/>
            <w:sz w:val="24"/>
            <w:szCs w:val="24"/>
            <w:lang w:val="en-GB"/>
          </w:rPr>
          <w:t>Regulation ECB/2023/13 amending Regulation (EC) No 2157/1999</w:t>
        </w:r>
      </w:hyperlink>
      <w:r w:rsidRPr="00F947A5">
        <w:rPr>
          <w:rFonts w:ascii="Times New Roman" w:hAnsi="Times New Roman"/>
          <w:sz w:val="24"/>
          <w:szCs w:val="24"/>
          <w:lang w:val="en-GB"/>
        </w:rPr>
        <w:t xml:space="preserve"> on the powers of the European Central Bank to impose sanctions. According to the revised legal act</w:t>
      </w:r>
      <w:r>
        <w:rPr>
          <w:rFonts w:ascii="Times New Roman" w:hAnsi="Times New Roman"/>
          <w:sz w:val="24"/>
          <w:szCs w:val="24"/>
          <w:lang w:val="en-GB"/>
        </w:rPr>
        <w:t>,</w:t>
      </w:r>
      <w:r w:rsidRPr="00F947A5">
        <w:rPr>
          <w:rFonts w:ascii="Times New Roman" w:hAnsi="Times New Roman"/>
          <w:sz w:val="24"/>
          <w:szCs w:val="24"/>
          <w:lang w:val="en-GB"/>
        </w:rPr>
        <w:t xml:space="preserve"> </w:t>
      </w:r>
      <w:r>
        <w:rPr>
          <w:rFonts w:ascii="Times New Roman" w:hAnsi="Times New Roman"/>
          <w:sz w:val="24"/>
          <w:szCs w:val="24"/>
          <w:lang w:val="en-GB"/>
        </w:rPr>
        <w:t xml:space="preserve">every sanction should be published by the ECB unless a specific exemption applies. </w:t>
      </w:r>
      <w:r w:rsidRPr="00F947A5">
        <w:rPr>
          <w:rFonts w:ascii="Times New Roman" w:hAnsi="Times New Roman"/>
          <w:sz w:val="24"/>
          <w:szCs w:val="24"/>
          <w:lang w:val="en-GB"/>
        </w:rPr>
        <w:t>The objective of publishing sanctions is to enhance the transparency and accountability of decision making by the ECB as well as increasing the dissuasive effect of sanctions.</w:t>
      </w:r>
      <w:r>
        <w:rPr>
          <w:rFonts w:ascii="Times New Roman" w:hAnsi="Times New Roman"/>
          <w:sz w:val="24"/>
          <w:szCs w:val="24"/>
          <w:lang w:val="en-GB"/>
        </w:rPr>
        <w:t xml:space="preserve"> </w:t>
      </w:r>
      <w:r w:rsidRPr="00F947A5">
        <w:rPr>
          <w:rFonts w:ascii="Times New Roman" w:hAnsi="Times New Roman"/>
          <w:sz w:val="24"/>
          <w:szCs w:val="24"/>
          <w:lang w:val="en-GB"/>
        </w:rPr>
        <w:t>It also ensures a higher degree of consistency with the practice of publishing supervisory sanctions.</w:t>
      </w:r>
      <w:r w:rsidRPr="00F947A5">
        <w:rPr>
          <w:rFonts w:cs="Arial"/>
          <w:snapToGrid w:val="0"/>
          <w:sz w:val="20"/>
          <w:lang w:val="en-GB" w:eastAsia="en-US"/>
        </w:rPr>
        <w:t xml:space="preserve"> </w:t>
      </w:r>
    </w:p>
    <w:p w14:paraId="333016AA" w14:textId="77777777" w:rsidR="00F947A5" w:rsidRPr="00161821" w:rsidRDefault="00F947A5" w:rsidP="00263297">
      <w:pPr>
        <w:spacing w:after="120" w:line="360" w:lineRule="auto"/>
        <w:jc w:val="both"/>
        <w:rPr>
          <w:rFonts w:ascii="Times New Roman" w:hAnsi="Times New Roman"/>
          <w:sz w:val="24"/>
          <w:szCs w:val="24"/>
          <w:lang w:val="en-GB"/>
        </w:rPr>
      </w:pPr>
    </w:p>
    <w:p w14:paraId="184FEA86" w14:textId="77777777" w:rsidR="00263297" w:rsidRPr="00104A86" w:rsidRDefault="00263297" w:rsidP="0026329E">
      <w:pPr>
        <w:spacing w:after="120" w:line="360" w:lineRule="auto"/>
        <w:jc w:val="both"/>
        <w:rPr>
          <w:rFonts w:ascii="Times New Roman" w:hAnsi="Times New Roman"/>
          <w:sz w:val="24"/>
          <w:szCs w:val="24"/>
          <w:lang w:val="en-GB"/>
        </w:rPr>
      </w:pPr>
    </w:p>
    <w:p w14:paraId="4CE4C2F6" w14:textId="580A4222" w:rsidR="00591697" w:rsidRPr="00760F3B" w:rsidRDefault="00591697" w:rsidP="00760F3B">
      <w:pPr>
        <w:jc w:val="both"/>
        <w:rPr>
          <w:rFonts w:ascii="Times New Roman" w:hAnsi="Times New Roman"/>
          <w:lang w:val="en-GB"/>
        </w:rPr>
      </w:pPr>
    </w:p>
    <w:sectPr w:rsidR="00591697" w:rsidRPr="00760F3B" w:rsidSect="00591697">
      <w:footerReference w:type="default" r:id="rId17"/>
      <w:footerReference w:type="first" r:id="rId18"/>
      <w:pgSz w:w="11907" w:h="16840" w:code="9"/>
      <w:pgMar w:top="1440" w:right="1080" w:bottom="1440" w:left="1080" w:header="567" w:footer="567" w:gutter="0"/>
      <w:paperSrc w:first="7" w:other="7"/>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9B40" w14:textId="77777777" w:rsidR="000164EB" w:rsidRDefault="000164EB" w:rsidP="00591697">
      <w:r>
        <w:separator/>
      </w:r>
    </w:p>
  </w:endnote>
  <w:endnote w:type="continuationSeparator" w:id="0">
    <w:p w14:paraId="0923466A" w14:textId="77777777" w:rsidR="000164EB" w:rsidRDefault="000164EB" w:rsidP="0059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43BB" w14:textId="0AE30269" w:rsidR="000164EB" w:rsidRPr="00EF27B2" w:rsidRDefault="000164EB">
    <w:pPr>
      <w:pStyle w:val="Footer"/>
      <w:framePr w:wrap="auto" w:vAnchor="text" w:hAnchor="margin" w:xAlign="center" w:y="1"/>
      <w:rPr>
        <w:rStyle w:val="PageNumber"/>
        <w:sz w:val="20"/>
      </w:rPr>
    </w:pPr>
    <w:r w:rsidRPr="00EF27B2">
      <w:rPr>
        <w:rStyle w:val="PageNumber"/>
        <w:sz w:val="20"/>
      </w:rPr>
      <w:fldChar w:fldCharType="begin"/>
    </w:r>
    <w:r w:rsidRPr="00EF27B2">
      <w:rPr>
        <w:rStyle w:val="PageNumber"/>
        <w:sz w:val="20"/>
      </w:rPr>
      <w:instrText xml:space="preserve">PAGE  </w:instrText>
    </w:r>
    <w:r w:rsidRPr="00EF27B2">
      <w:rPr>
        <w:rStyle w:val="PageNumber"/>
        <w:sz w:val="20"/>
      </w:rPr>
      <w:fldChar w:fldCharType="separate"/>
    </w:r>
    <w:r w:rsidR="0002520A">
      <w:rPr>
        <w:rStyle w:val="PageNumber"/>
        <w:noProof/>
        <w:sz w:val="20"/>
      </w:rPr>
      <w:t>1</w:t>
    </w:r>
    <w:r w:rsidRPr="00EF27B2">
      <w:rPr>
        <w:rStyle w:val="PageNumber"/>
        <w:sz w:val="20"/>
      </w:rPr>
      <w:fldChar w:fldCharType="end"/>
    </w:r>
  </w:p>
  <w:p w14:paraId="62DE2EFA" w14:textId="77777777" w:rsidR="000164EB" w:rsidRDefault="0001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B7B4" w14:textId="77777777" w:rsidR="000164EB" w:rsidRPr="00BE4F69" w:rsidRDefault="000164EB" w:rsidP="00D84260">
    <w:pPr>
      <w:pStyle w:val="Footer"/>
      <w:ind w:right="-737"/>
      <w:jc w:val="both"/>
      <w:rPr>
        <w:sz w:val="18"/>
        <w:szCs w:val="18"/>
        <w:lang w:val="en-GB"/>
      </w:rPr>
    </w:pPr>
    <w:r>
      <w:rPr>
        <w:sz w:val="18"/>
        <w:szCs w:val="18"/>
        <w:lang w:val="en-GB"/>
      </w:rPr>
      <w:t>__________________________________________________________________________________________</w:t>
    </w:r>
  </w:p>
  <w:p w14:paraId="75806861" w14:textId="77777777" w:rsidR="000164EB" w:rsidRPr="0030660D" w:rsidRDefault="000164EB" w:rsidP="00D84260">
    <w:pPr>
      <w:pStyle w:val="Footer"/>
      <w:spacing w:before="80" w:after="80"/>
      <w:ind w:left="-709" w:right="-709"/>
      <w:jc w:val="center"/>
      <w:rPr>
        <w:rFonts w:ascii="Garamond" w:hAnsi="Garamond"/>
        <w:sz w:val="18"/>
        <w:szCs w:val="18"/>
        <w:lang w:val="en-GB"/>
      </w:rPr>
    </w:pPr>
    <w:r w:rsidRPr="0030660D">
      <w:rPr>
        <w:rFonts w:ascii="Garamond" w:hAnsi="Garamond"/>
        <w:sz w:val="18"/>
        <w:szCs w:val="18"/>
        <w:lang w:val="en-GB"/>
      </w:rPr>
      <w:t>8</w:t>
    </w:r>
    <w:r>
      <w:rPr>
        <w:rFonts w:ascii="Garamond" w:hAnsi="Garamond"/>
        <w:sz w:val="18"/>
        <w:szCs w:val="18"/>
        <w:lang w:val="en-GB"/>
      </w:rPr>
      <w:t>0 Kennedy Avenue, CY-1076 Nicosia, Cyprus</w:t>
    </w:r>
    <w:r w:rsidRPr="0030660D">
      <w:rPr>
        <w:rFonts w:ascii="Garamond" w:hAnsi="Garamond"/>
        <w:sz w:val="18"/>
        <w:szCs w:val="18"/>
        <w:lang w:val="en-GB"/>
      </w:rPr>
      <w:br/>
    </w:r>
    <w:r>
      <w:rPr>
        <w:rFonts w:ascii="Garamond" w:hAnsi="Garamond"/>
        <w:sz w:val="18"/>
        <w:szCs w:val="18"/>
        <w:lang w:val="en-GB"/>
      </w:rPr>
      <w:t xml:space="preserve">Postal Address: </w:t>
    </w:r>
    <w:proofErr w:type="spellStart"/>
    <w:r>
      <w:rPr>
        <w:rFonts w:ascii="Garamond" w:hAnsi="Garamond"/>
        <w:sz w:val="18"/>
        <w:szCs w:val="18"/>
        <w:lang w:val="en-GB"/>
      </w:rPr>
      <w:t>P.</w:t>
    </w:r>
    <w:proofErr w:type="gramStart"/>
    <w:r>
      <w:rPr>
        <w:rFonts w:ascii="Garamond" w:hAnsi="Garamond"/>
        <w:sz w:val="18"/>
        <w:szCs w:val="18"/>
        <w:lang w:val="en-GB"/>
      </w:rPr>
      <w:t>O.Box</w:t>
    </w:r>
    <w:proofErr w:type="spellEnd"/>
    <w:proofErr w:type="gramEnd"/>
    <w:r>
      <w:rPr>
        <w:rFonts w:ascii="Garamond" w:hAnsi="Garamond"/>
        <w:sz w:val="18"/>
        <w:szCs w:val="18"/>
        <w:lang w:val="en-GB"/>
      </w:rPr>
      <w:t xml:space="preserve"> 25529, CY-1395 Nicosia, Cyprus</w:t>
    </w:r>
    <w:r w:rsidRPr="0030660D">
      <w:rPr>
        <w:rFonts w:ascii="Garamond" w:hAnsi="Garamond"/>
        <w:sz w:val="18"/>
        <w:szCs w:val="18"/>
        <w:lang w:val="en-GB"/>
      </w:rPr>
      <w:br/>
    </w:r>
    <w:r>
      <w:rPr>
        <w:rFonts w:ascii="Garamond" w:hAnsi="Garamond"/>
        <w:sz w:val="18"/>
        <w:szCs w:val="18"/>
        <w:lang w:val="en-GB"/>
      </w:rPr>
      <w:t>Telephone</w:t>
    </w:r>
    <w:r w:rsidRPr="0030660D">
      <w:rPr>
        <w:rFonts w:ascii="Garamond" w:hAnsi="Garamond"/>
        <w:sz w:val="18"/>
        <w:szCs w:val="18"/>
        <w:lang w:val="en-GB"/>
      </w:rPr>
      <w:t xml:space="preserve">: </w:t>
    </w:r>
    <w:r>
      <w:rPr>
        <w:rFonts w:ascii="Garamond" w:hAnsi="Garamond"/>
        <w:sz w:val="18"/>
        <w:szCs w:val="18"/>
        <w:lang w:val="en-GB"/>
      </w:rPr>
      <w:t>+357-</w:t>
    </w:r>
    <w:r w:rsidRPr="0030660D">
      <w:rPr>
        <w:rFonts w:ascii="Garamond" w:hAnsi="Garamond"/>
        <w:sz w:val="18"/>
        <w:szCs w:val="18"/>
        <w:lang w:val="en-GB"/>
      </w:rPr>
      <w:t xml:space="preserve">22714100 - </w:t>
    </w:r>
    <w:r>
      <w:rPr>
        <w:rFonts w:ascii="Garamond" w:hAnsi="Garamond"/>
        <w:sz w:val="18"/>
        <w:szCs w:val="18"/>
        <w:lang w:val="en-GB"/>
      </w:rPr>
      <w:t>Website</w:t>
    </w:r>
    <w:r w:rsidRPr="0030660D">
      <w:rPr>
        <w:rFonts w:ascii="Garamond" w:hAnsi="Garamond"/>
        <w:sz w:val="18"/>
        <w:szCs w:val="18"/>
        <w:lang w:val="en-GB"/>
      </w:rPr>
      <w:t xml:space="preserve">: </w:t>
    </w:r>
    <w:r w:rsidRPr="00BA6D51">
      <w:rPr>
        <w:rFonts w:ascii="Garamond" w:hAnsi="Garamond"/>
        <w:sz w:val="18"/>
        <w:szCs w:val="18"/>
        <w:lang w:val="en-GB"/>
      </w:rPr>
      <w:t>www</w:t>
    </w:r>
    <w:r w:rsidRPr="0030660D">
      <w:rPr>
        <w:rFonts w:ascii="Garamond" w:hAnsi="Garamond"/>
        <w:sz w:val="18"/>
        <w:szCs w:val="18"/>
        <w:lang w:val="en-GB"/>
      </w:rPr>
      <w:t>.</w:t>
    </w:r>
    <w:r w:rsidRPr="00BA6D51">
      <w:rPr>
        <w:rFonts w:ascii="Garamond" w:hAnsi="Garamond"/>
        <w:sz w:val="18"/>
        <w:szCs w:val="18"/>
        <w:lang w:val="en-GB"/>
      </w:rPr>
      <w:t>centralbank</w:t>
    </w:r>
    <w:r w:rsidRPr="0030660D">
      <w:rPr>
        <w:rFonts w:ascii="Garamond" w:hAnsi="Garamond"/>
        <w:sz w:val="18"/>
        <w:szCs w:val="18"/>
        <w:lang w:val="en-GB"/>
      </w:rPr>
      <w:t>.</w:t>
    </w:r>
    <w:r w:rsidRPr="00BA6D51">
      <w:rPr>
        <w:rFonts w:ascii="Garamond" w:hAnsi="Garamond"/>
        <w:sz w:val="18"/>
        <w:szCs w:val="18"/>
        <w:lang w:val="en-GB"/>
      </w:rPr>
      <w:t>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01B4" w14:textId="77777777" w:rsidR="000164EB" w:rsidRDefault="000164EB" w:rsidP="00591697">
      <w:r>
        <w:separator/>
      </w:r>
    </w:p>
  </w:footnote>
  <w:footnote w:type="continuationSeparator" w:id="0">
    <w:p w14:paraId="69E27CBA" w14:textId="77777777" w:rsidR="000164EB" w:rsidRDefault="000164EB" w:rsidP="00591697">
      <w:r>
        <w:continuationSeparator/>
      </w:r>
    </w:p>
  </w:footnote>
  <w:footnote w:id="1">
    <w:p w14:paraId="72D5C48C" w14:textId="77777777" w:rsidR="000164EB" w:rsidRPr="00266B9D" w:rsidRDefault="000164EB" w:rsidP="00717BF3">
      <w:pPr>
        <w:pStyle w:val="FootnoteText"/>
        <w:jc w:val="both"/>
        <w:rPr>
          <w:lang w:val="en-GB"/>
        </w:rPr>
      </w:pPr>
      <w:r>
        <w:rPr>
          <w:rStyle w:val="FootnoteReference"/>
        </w:rPr>
        <w:footnoteRef/>
      </w:r>
      <w:r w:rsidRPr="00266B9D">
        <w:rPr>
          <w:lang w:val="en-GB"/>
        </w:rPr>
        <w:t xml:space="preserve"> </w:t>
      </w:r>
      <w:r w:rsidRPr="00266B9D">
        <w:rPr>
          <w:rFonts w:ascii="Times New Roman" w:hAnsi="Times New Roman"/>
          <w:lang w:val="en-GB"/>
        </w:rPr>
        <w:t>Article 1 of ECB Directive (EU) 2015/2366 on payment services (PSD 2)</w:t>
      </w:r>
      <w:r>
        <w:rPr>
          <w:rFonts w:ascii="Times New Roman" w:hAnsi="Times New Roman"/>
          <w:lang w:val="en-GB"/>
        </w:rPr>
        <w:t>.</w:t>
      </w:r>
    </w:p>
  </w:footnote>
  <w:footnote w:id="2">
    <w:p w14:paraId="738B7418" w14:textId="1804E5C6" w:rsidR="000164EB" w:rsidRPr="00317FAC" w:rsidRDefault="000164EB" w:rsidP="00317FAC">
      <w:pPr>
        <w:pStyle w:val="FootnoteText"/>
        <w:jc w:val="both"/>
        <w:rPr>
          <w:rFonts w:ascii="Times New Roman" w:hAnsi="Times New Roman"/>
          <w:lang w:val="en-GB"/>
        </w:rPr>
      </w:pPr>
      <w:r w:rsidRPr="00317FAC">
        <w:rPr>
          <w:rStyle w:val="FootnoteReference"/>
          <w:rFonts w:ascii="Times New Roman" w:hAnsi="Times New Roman"/>
        </w:rPr>
        <w:footnoteRef/>
      </w:r>
      <w:r w:rsidRPr="00317FAC">
        <w:rPr>
          <w:rFonts w:ascii="Times New Roman" w:hAnsi="Times New Roman"/>
          <w:lang w:val="en-GB"/>
        </w:rPr>
        <w:t xml:space="preserve"> </w:t>
      </w:r>
      <w:r>
        <w:rPr>
          <w:rFonts w:ascii="Times New Roman" w:hAnsi="Times New Roman"/>
          <w:lang w:val="en-GB"/>
        </w:rPr>
        <w:t xml:space="preserve">Payment services offered to monetary financial institutions as well as payment transactions involving monetary financial institutions should be excluded. </w:t>
      </w:r>
      <w:r w:rsidRPr="00317FAC">
        <w:rPr>
          <w:rFonts w:ascii="Times New Roman" w:hAnsi="Times New Roman"/>
          <w:lang w:val="en-GB"/>
        </w:rPr>
        <w:t>You may query monetary financial institutions</w:t>
      </w:r>
      <w:r>
        <w:rPr>
          <w:rFonts w:ascii="Times New Roman" w:hAnsi="Times New Roman"/>
          <w:lang w:val="en-GB"/>
        </w:rPr>
        <w:t xml:space="preserve"> inside the European Union</w:t>
      </w:r>
      <w:r w:rsidRPr="00317FAC">
        <w:rPr>
          <w:rFonts w:ascii="Times New Roman" w:hAnsi="Times New Roman"/>
          <w:lang w:val="en-GB"/>
        </w:rPr>
        <w:t xml:space="preserve"> </w:t>
      </w:r>
      <w:r>
        <w:fldChar w:fldCharType="begin"/>
      </w:r>
      <w:r w:rsidRPr="00F53249">
        <w:rPr>
          <w:lang w:val="en-US"/>
        </w:rPr>
        <w:instrText>HYPERLINK "https://www.ecb.europa.eu/paym/html/midMFID.en.html"</w:instrText>
      </w:r>
      <w:r>
        <w:fldChar w:fldCharType="separate"/>
      </w:r>
      <w:r w:rsidRPr="00317FAC">
        <w:rPr>
          <w:rStyle w:val="Hyperlink"/>
          <w:rFonts w:ascii="Times New Roman" w:eastAsia="Arial" w:hAnsi="Times New Roman"/>
          <w:lang w:val="en-GB"/>
        </w:rPr>
        <w:t>here</w:t>
      </w:r>
      <w:r>
        <w:fldChar w:fldCharType="end"/>
      </w:r>
      <w:r w:rsidRPr="00317FAC">
        <w:rPr>
          <w:rFonts w:ascii="Times New Roman" w:hAnsi="Times New Roman"/>
          <w:lang w:val="en-GB"/>
        </w:rPr>
        <w:t xml:space="preserve"> (ECB daily data).</w:t>
      </w:r>
      <w:r>
        <w:rPr>
          <w:rFonts w:ascii="Times New Roman" w:hAnsi="Times New Roman"/>
          <w:lang w:val="en-GB"/>
        </w:rPr>
        <w:t xml:space="preserve"> This list does not include the monetary financial institutions registered in countries outside the European Union. </w:t>
      </w:r>
    </w:p>
  </w:footnote>
  <w:footnote w:id="3">
    <w:p w14:paraId="3928CB14" w14:textId="77777777" w:rsidR="000164EB" w:rsidRPr="00FA225B" w:rsidRDefault="000164EB" w:rsidP="005B7F71">
      <w:pPr>
        <w:pStyle w:val="FootnoteText"/>
        <w:jc w:val="both"/>
        <w:rPr>
          <w:rFonts w:ascii="Times New Roman" w:hAnsi="Times New Roman"/>
          <w:lang w:val="en-GB"/>
        </w:rPr>
      </w:pPr>
      <w:r w:rsidRPr="00FA225B">
        <w:rPr>
          <w:rStyle w:val="FootnoteReference"/>
          <w:rFonts w:ascii="Times New Roman" w:hAnsi="Times New Roman"/>
        </w:rPr>
        <w:footnoteRef/>
      </w:r>
      <w:r w:rsidRPr="00FA225B">
        <w:rPr>
          <w:rFonts w:ascii="Times New Roman" w:hAnsi="Times New Roman"/>
          <w:lang w:val="en-GB"/>
        </w:rPr>
        <w:t xml:space="preserve"> Irrespective of the residency of the card holder or the location where the account associated with the card is administered.</w:t>
      </w:r>
    </w:p>
  </w:footnote>
  <w:footnote w:id="4">
    <w:p w14:paraId="6D0388BE" w14:textId="77777777" w:rsidR="000164EB" w:rsidRPr="005C0363" w:rsidRDefault="000164EB" w:rsidP="005B7F71">
      <w:pPr>
        <w:pStyle w:val="FootnoteText"/>
        <w:jc w:val="both"/>
        <w:rPr>
          <w:lang w:val="en-GB"/>
        </w:rPr>
      </w:pPr>
      <w:r w:rsidRPr="00FA225B">
        <w:rPr>
          <w:rStyle w:val="FootnoteReference"/>
          <w:rFonts w:ascii="Times New Roman" w:hAnsi="Times New Roman"/>
        </w:rPr>
        <w:footnoteRef/>
      </w:r>
      <w:r w:rsidRPr="00FA225B">
        <w:rPr>
          <w:rFonts w:ascii="Times New Roman" w:hAnsi="Times New Roman"/>
          <w:lang w:val="en-GB"/>
        </w:rPr>
        <w:t xml:space="preserve"> The entity which provides the terminals, regardless of the ownership over the terminals.</w:t>
      </w:r>
    </w:p>
  </w:footnote>
  <w:footnote w:id="5">
    <w:p w14:paraId="3BA1CFFE" w14:textId="77777777" w:rsidR="000164EB" w:rsidRPr="006C1BCD" w:rsidRDefault="000164EB" w:rsidP="006C1BCD">
      <w:pPr>
        <w:pStyle w:val="FootnoteText"/>
        <w:jc w:val="both"/>
        <w:rPr>
          <w:rFonts w:ascii="Times New Roman" w:hAnsi="Times New Roman"/>
          <w:lang w:val="en-GB"/>
        </w:rPr>
      </w:pPr>
      <w:r w:rsidRPr="006C1BCD">
        <w:rPr>
          <w:rStyle w:val="FootnoteReference"/>
          <w:rFonts w:ascii="Times New Roman" w:hAnsi="Times New Roman"/>
        </w:rPr>
        <w:footnoteRef/>
      </w:r>
      <w:r w:rsidRPr="006C1BCD">
        <w:rPr>
          <w:rFonts w:ascii="Times New Roman" w:hAnsi="Times New Roman"/>
          <w:lang w:val="en-GB"/>
        </w:rPr>
        <w:t xml:space="preserve"> It is noted that the reporting template ‘PAYSTS2_MASTER_TEMPLATE_SEMI-ANNUAL’ should be submitted before the reporting template ‘PAYSTS2_MASTER_TEMPLATE_FRAUDULENT_SEMI-ANNUAL’.</w:t>
      </w:r>
    </w:p>
  </w:footnote>
  <w:footnote w:id="6">
    <w:p w14:paraId="2450C5A0" w14:textId="2BFE8099" w:rsidR="000164EB" w:rsidRPr="006412E2" w:rsidRDefault="000164EB" w:rsidP="002C1C81">
      <w:pPr>
        <w:pStyle w:val="FootnoteText"/>
        <w:rPr>
          <w:rFonts w:ascii="Times New Roman" w:hAnsi="Times New Roman"/>
          <w:lang w:val="en-GB"/>
        </w:rPr>
      </w:pPr>
      <w:r w:rsidRPr="006412E2">
        <w:rPr>
          <w:rStyle w:val="FootnoteReference"/>
          <w:rFonts w:ascii="Times New Roman" w:hAnsi="Times New Roman"/>
        </w:rPr>
        <w:footnoteRef/>
      </w:r>
      <w:r w:rsidRPr="006412E2">
        <w:rPr>
          <w:rFonts w:ascii="Times New Roman" w:hAnsi="Times New Roman"/>
          <w:lang w:val="en-GB"/>
        </w:rPr>
        <w:t xml:space="preserve"> </w:t>
      </w:r>
      <w:r>
        <w:rPr>
          <w:rFonts w:ascii="Times New Roman" w:hAnsi="Times New Roman"/>
          <w:lang w:val="en-GB"/>
        </w:rPr>
        <w:t>O</w:t>
      </w:r>
      <w:r w:rsidRPr="002C1C81">
        <w:rPr>
          <w:rFonts w:ascii="Times New Roman" w:hAnsi="Times New Roman"/>
          <w:lang w:val="en-GB"/>
        </w:rPr>
        <w:t xml:space="preserve">vernight deposits are deposits which are convertible into currency and/or which are transferable on demand without significant </w:t>
      </w:r>
      <w:r>
        <w:rPr>
          <w:rFonts w:ascii="Times New Roman" w:hAnsi="Times New Roman"/>
          <w:lang w:val="en-GB"/>
        </w:rPr>
        <w:t xml:space="preserve">delay, restriction or penalty. </w:t>
      </w:r>
      <w:r w:rsidRPr="002C1C81">
        <w:rPr>
          <w:rFonts w:ascii="Times New Roman" w:hAnsi="Times New Roman"/>
          <w:lang w:val="en-GB"/>
        </w:rPr>
        <w:t>Included are:</w:t>
      </w:r>
      <w:r w:rsidRPr="002C1C81">
        <w:rPr>
          <w:rFonts w:ascii="Times New Roman" w:hAnsi="Times New Roman"/>
          <w:lang w:val="en-GB"/>
        </w:rPr>
        <w:br/>
        <w:t xml:space="preserve">(a) balances (interest-bearing or not) which are immediately convertible into currency on demand or by close of business on the day following that on which the demand was made, without any significant penalty or restriction, but which are not transferable; </w:t>
      </w:r>
      <w:r w:rsidRPr="002C1C81">
        <w:rPr>
          <w:rFonts w:ascii="Times New Roman" w:hAnsi="Times New Roman"/>
          <w:lang w:val="en-GB"/>
        </w:rPr>
        <w:br/>
        <w:t xml:space="preserve">(b) balances (interest-bearing or not) representing prepaid amounts in the context of “hardware-based” or “software-based” e-money, e.g. prepaid cards; </w:t>
      </w:r>
      <w:r w:rsidRPr="002C1C81">
        <w:rPr>
          <w:rFonts w:ascii="Times New Roman" w:hAnsi="Times New Roman"/>
          <w:lang w:val="en-GB"/>
        </w:rPr>
        <w:br/>
        <w:t>(c) loans to be repaid by close of business on the day following that on which the loan was granted.</w:t>
      </w:r>
    </w:p>
  </w:footnote>
  <w:footnote w:id="7">
    <w:p w14:paraId="443BF26E" w14:textId="48016073" w:rsidR="000164EB" w:rsidRDefault="000164EB" w:rsidP="005947B1">
      <w:pPr>
        <w:jc w:val="both"/>
        <w:rPr>
          <w:rFonts w:ascii="Times New Roman" w:hAnsi="Times New Roman"/>
          <w:sz w:val="20"/>
          <w:lang w:val="en-GB"/>
        </w:rPr>
      </w:pPr>
      <w:r w:rsidRPr="006412E2">
        <w:rPr>
          <w:rStyle w:val="FootnoteReference"/>
          <w:rFonts w:ascii="Times New Roman" w:hAnsi="Times New Roman"/>
          <w:sz w:val="20"/>
        </w:rPr>
        <w:footnoteRef/>
      </w:r>
      <w:r w:rsidRPr="006412E2">
        <w:rPr>
          <w:rFonts w:ascii="Times New Roman" w:hAnsi="Times New Roman"/>
          <w:sz w:val="20"/>
          <w:lang w:val="en-GB"/>
        </w:rPr>
        <w:t xml:space="preserve"> Transferable </w:t>
      </w:r>
      <w:r>
        <w:rPr>
          <w:rFonts w:ascii="Times New Roman" w:hAnsi="Times New Roman"/>
          <w:sz w:val="20"/>
          <w:lang w:val="en-GB"/>
        </w:rPr>
        <w:t xml:space="preserve">overnight </w:t>
      </w:r>
      <w:r w:rsidRPr="006412E2">
        <w:rPr>
          <w:rFonts w:ascii="Times New Roman" w:hAnsi="Times New Roman"/>
          <w:sz w:val="20"/>
          <w:lang w:val="en-GB"/>
        </w:rPr>
        <w:t>deposits are directly transferable on demand to make payments by commonly used means such as credit transfer, direct debit, credit or debit card, e-money transaction, cheque or similar means without significant delay, restriction or penalty. Deposits only used for cash withdrawal and/or deposits from which funds can only be withdrawn or transferred through another account of the same owner are not to be included as transferable deposits.</w:t>
      </w:r>
    </w:p>
    <w:p w14:paraId="77DDFED4" w14:textId="58D88959" w:rsidR="000164EB" w:rsidRPr="006412E2" w:rsidRDefault="000164EB" w:rsidP="005947B1">
      <w:pPr>
        <w:jc w:val="both"/>
        <w:rPr>
          <w:rFonts w:ascii="Times New Roman" w:hAnsi="Times New Roman"/>
          <w:sz w:val="20"/>
          <w:lang w:val="en-GB"/>
        </w:rPr>
      </w:pPr>
      <w:r w:rsidRPr="00717E9E">
        <w:rPr>
          <w:rFonts w:ascii="Times New Roman" w:hAnsi="Times New Roman"/>
          <w:sz w:val="20"/>
          <w:lang w:val="en-GB"/>
        </w:rPr>
        <w:t>The accounts are only counted as transferable overnight deposits if the deposit in the account is greater than zero.</w:t>
      </w:r>
    </w:p>
  </w:footnote>
  <w:footnote w:id="8">
    <w:p w14:paraId="4AD04CFD" w14:textId="6DDFFFE7" w:rsidR="000164EB" w:rsidRPr="0074050F" w:rsidRDefault="000164EB" w:rsidP="005947B1">
      <w:pPr>
        <w:pStyle w:val="FootnoteText"/>
        <w:jc w:val="both"/>
        <w:rPr>
          <w:rFonts w:ascii="Times New Roman" w:hAnsi="Times New Roman"/>
          <w:lang w:val="en-GB"/>
        </w:rPr>
      </w:pPr>
      <w:r w:rsidRPr="0074050F">
        <w:rPr>
          <w:rStyle w:val="FootnoteReference"/>
          <w:rFonts w:ascii="Times New Roman" w:hAnsi="Times New Roman"/>
        </w:rPr>
        <w:footnoteRef/>
      </w:r>
      <w:r w:rsidRPr="0074050F">
        <w:rPr>
          <w:rFonts w:ascii="Times New Roman" w:hAnsi="Times New Roman"/>
          <w:lang w:val="en-GB"/>
        </w:rPr>
        <w:t xml:space="preserve"> Number of </w:t>
      </w:r>
      <w:r w:rsidRPr="005E3E5C">
        <w:rPr>
          <w:rFonts w:ascii="Times New Roman" w:hAnsi="Times New Roman"/>
          <w:lang w:val="en-GB"/>
        </w:rPr>
        <w:t xml:space="preserve">internet/PC-linked </w:t>
      </w:r>
      <w:r w:rsidRPr="0074050F">
        <w:rPr>
          <w:rFonts w:ascii="Times New Roman" w:hAnsi="Times New Roman"/>
          <w:lang w:val="en-GB"/>
        </w:rPr>
        <w:t>overnight deposit accounts held by non-MFIs, which the account holder can access and use electronically via the internet or with PC banking applications via dedicated software and dedicated telecommunication lines.</w:t>
      </w:r>
      <w:r>
        <w:rPr>
          <w:rFonts w:ascii="Times New Roman" w:hAnsi="Times New Roman"/>
          <w:lang w:val="en-GB"/>
        </w:rPr>
        <w:t xml:space="preserve"> It</w:t>
      </w:r>
      <w:r w:rsidRPr="002238CB">
        <w:rPr>
          <w:rFonts w:ascii="Times New Roman" w:hAnsi="Times New Roman"/>
          <w:lang w:val="en-GB"/>
        </w:rPr>
        <w:t xml:space="preserve"> refers to both transferable and non-transferable deposits</w:t>
      </w:r>
      <w:r>
        <w:rPr>
          <w:rFonts w:ascii="Times New Roman" w:hAnsi="Times New Roman"/>
          <w:lang w:val="en-GB"/>
        </w:rPr>
        <w:t>.</w:t>
      </w:r>
    </w:p>
  </w:footnote>
  <w:footnote w:id="9">
    <w:p w14:paraId="34265662" w14:textId="77777777" w:rsidR="000164EB" w:rsidRPr="0074050F" w:rsidRDefault="000164EB" w:rsidP="005947B1">
      <w:pPr>
        <w:pStyle w:val="FootnoteText"/>
        <w:jc w:val="both"/>
        <w:rPr>
          <w:rFonts w:ascii="Times New Roman" w:hAnsi="Times New Roman"/>
          <w:lang w:val="en-GB"/>
        </w:rPr>
      </w:pPr>
      <w:r w:rsidRPr="0074050F">
        <w:rPr>
          <w:rStyle w:val="FootnoteReference"/>
          <w:rFonts w:ascii="Times New Roman" w:hAnsi="Times New Roman"/>
        </w:rPr>
        <w:footnoteRef/>
      </w:r>
      <w:r w:rsidRPr="0074050F">
        <w:rPr>
          <w:rFonts w:ascii="Times New Roman" w:hAnsi="Times New Roman"/>
          <w:lang w:val="en-GB"/>
        </w:rPr>
        <w:t xml:space="preserve"> Refer to Article 4(12) of Directive (EU) 2015/2366.  </w:t>
      </w:r>
    </w:p>
  </w:footnote>
  <w:footnote w:id="10">
    <w:p w14:paraId="3DCCCA97" w14:textId="77777777" w:rsidR="000164EB" w:rsidRPr="0074050F" w:rsidRDefault="000164EB" w:rsidP="005947B1">
      <w:pPr>
        <w:pStyle w:val="FootnoteText"/>
        <w:jc w:val="both"/>
        <w:rPr>
          <w:rFonts w:ascii="Times New Roman" w:hAnsi="Times New Roman"/>
          <w:lang w:val="en-GB"/>
        </w:rPr>
      </w:pPr>
      <w:r w:rsidRPr="0074050F">
        <w:rPr>
          <w:rStyle w:val="FootnoteReference"/>
          <w:rFonts w:ascii="Times New Roman" w:hAnsi="Times New Roman"/>
        </w:rPr>
        <w:footnoteRef/>
      </w:r>
      <w:r w:rsidRPr="0074050F">
        <w:rPr>
          <w:rFonts w:ascii="Times New Roman" w:hAnsi="Times New Roman"/>
          <w:lang w:val="en-GB"/>
        </w:rPr>
        <w:t xml:space="preserve"> Refer to the Regulation ECB/2013/33, Annex II, Table 1, point 9.3. </w:t>
      </w:r>
    </w:p>
  </w:footnote>
  <w:footnote w:id="11">
    <w:p w14:paraId="7484C64A" w14:textId="77777777" w:rsidR="000164EB" w:rsidRPr="0074050F" w:rsidRDefault="000164EB" w:rsidP="005947B1">
      <w:pPr>
        <w:jc w:val="both"/>
        <w:rPr>
          <w:rFonts w:cs="Arial"/>
          <w:sz w:val="20"/>
          <w:lang w:val="en-GB"/>
        </w:rPr>
      </w:pPr>
      <w:r w:rsidRPr="0074050F">
        <w:rPr>
          <w:rStyle w:val="FootnoteReference"/>
          <w:rFonts w:ascii="Times New Roman" w:hAnsi="Times New Roman"/>
          <w:sz w:val="20"/>
        </w:rPr>
        <w:footnoteRef/>
      </w:r>
      <w:r w:rsidRPr="0074050F">
        <w:rPr>
          <w:rFonts w:ascii="Times New Roman" w:hAnsi="Times New Roman"/>
          <w:sz w:val="20"/>
          <w:lang w:val="en-GB"/>
        </w:rPr>
        <w:t xml:space="preserve"> An account, which stores e-money, and its holder can use its balance to make payments and transfer funds between accounts.</w:t>
      </w:r>
    </w:p>
  </w:footnote>
  <w:footnote w:id="12">
    <w:p w14:paraId="24B7F102" w14:textId="77777777" w:rsidR="000164EB" w:rsidRPr="00EE0BA1" w:rsidRDefault="000164EB" w:rsidP="005B7F71">
      <w:pPr>
        <w:jc w:val="both"/>
        <w:rPr>
          <w:rFonts w:ascii="Times New Roman" w:hAnsi="Times New Roman"/>
          <w:sz w:val="20"/>
          <w:lang w:val="en-GB"/>
        </w:rPr>
      </w:pPr>
      <w:r w:rsidRPr="0074050F">
        <w:rPr>
          <w:rStyle w:val="FootnoteReference"/>
          <w:rFonts w:ascii="Times New Roman" w:hAnsi="Times New Roman"/>
          <w:sz w:val="20"/>
        </w:rPr>
        <w:footnoteRef/>
      </w:r>
      <w:r w:rsidRPr="0074050F">
        <w:rPr>
          <w:rFonts w:ascii="Times New Roman" w:hAnsi="Times New Roman"/>
          <w:sz w:val="20"/>
          <w:lang w:val="en-GB"/>
        </w:rPr>
        <w:t xml:space="preserve"> As defined in Article 4(19) of Directive (EU) 2015/2366.</w:t>
      </w:r>
    </w:p>
  </w:footnote>
  <w:footnote w:id="13">
    <w:p w14:paraId="79E131FA" w14:textId="66BCC8C9" w:rsidR="000164EB" w:rsidRPr="00FD29EC" w:rsidRDefault="000164EB">
      <w:pPr>
        <w:pStyle w:val="FootnoteText"/>
        <w:rPr>
          <w:lang w:val="en-GB"/>
        </w:rPr>
      </w:pPr>
      <w:r>
        <w:rPr>
          <w:rStyle w:val="FootnoteReference"/>
        </w:rPr>
        <w:footnoteRef/>
      </w:r>
      <w:r w:rsidRPr="00FD29EC">
        <w:rPr>
          <w:lang w:val="en-GB"/>
        </w:rPr>
        <w:t xml:space="preserve"> </w:t>
      </w:r>
      <w:r w:rsidRPr="00FD29EC">
        <w:rPr>
          <w:rFonts w:ascii="Times New Roman" w:hAnsi="Times New Roman"/>
          <w:lang w:val="en-GB"/>
        </w:rPr>
        <w:t>As specified in Annex 2 of the EBA Guidelines, for the purpose of the reporting requirements under the Guidelines, the PSU should be understood as the payer in the context of credit transfers and cards payment reported by issuers, as the payee in the context of card payments reported by acquirers and as an account holder in the context of cash withdrawals.</w:t>
      </w:r>
    </w:p>
  </w:footnote>
  <w:footnote w:id="14">
    <w:p w14:paraId="3FA59166" w14:textId="77777777" w:rsidR="000164EB" w:rsidRPr="00E63D7B" w:rsidRDefault="000164EB" w:rsidP="005B7F71">
      <w:pPr>
        <w:pStyle w:val="FootnoteText"/>
        <w:jc w:val="both"/>
        <w:rPr>
          <w:lang w:val="en-GB"/>
        </w:rPr>
      </w:pPr>
      <w:r w:rsidRPr="008F7A10">
        <w:rPr>
          <w:rStyle w:val="FootnoteReference"/>
          <w:rFonts w:ascii="Times New Roman" w:hAnsi="Times New Roman"/>
        </w:rPr>
        <w:footnoteRef/>
      </w:r>
      <w:r w:rsidRPr="00E63D7B">
        <w:rPr>
          <w:lang w:val="en-GB"/>
        </w:rPr>
        <w:t xml:space="preserve"> </w:t>
      </w:r>
      <w:r w:rsidRPr="00E63D7B">
        <w:rPr>
          <w:rFonts w:ascii="Times New Roman" w:hAnsi="Times New Roman"/>
          <w:lang w:val="en-GB"/>
        </w:rPr>
        <w:t>Joint accounts or trust accounts.</w:t>
      </w:r>
    </w:p>
  </w:footnote>
  <w:footnote w:id="15">
    <w:p w14:paraId="5FABB2A2" w14:textId="28423012" w:rsidR="000164EB" w:rsidRPr="00EB23A5" w:rsidRDefault="000164EB">
      <w:pPr>
        <w:pStyle w:val="FootnoteText"/>
        <w:rPr>
          <w:lang w:val="en-GB"/>
        </w:rPr>
      </w:pPr>
      <w:r>
        <w:rPr>
          <w:rStyle w:val="FootnoteReference"/>
        </w:rPr>
        <w:footnoteRef/>
      </w:r>
      <w:r w:rsidRPr="00EB23A5">
        <w:rPr>
          <w:lang w:val="en-GB"/>
        </w:rPr>
        <w:t xml:space="preserve"> </w:t>
      </w:r>
      <w:r w:rsidRPr="00EB23A5">
        <w:rPr>
          <w:rFonts w:ascii="Times New Roman" w:hAnsi="Times New Roman"/>
          <w:lang w:val="en-GB"/>
        </w:rPr>
        <w:t>One possible source of information allowing the reporting agent to retrieve the relevant data could be to access the information based on the identification performed by the AISPs as part of the customer due diligence process. Another proxy could be to identify the PSU’s IP address and source its residency using that information.</w:t>
      </w:r>
    </w:p>
  </w:footnote>
  <w:footnote w:id="16">
    <w:p w14:paraId="4DC7CE52" w14:textId="77777777" w:rsidR="000164EB" w:rsidRPr="00A32D86" w:rsidRDefault="000164EB" w:rsidP="005B7F71">
      <w:pPr>
        <w:jc w:val="both"/>
        <w:rPr>
          <w:rFonts w:ascii="Times New Roman" w:hAnsi="Times New Roman"/>
          <w:sz w:val="20"/>
          <w:lang w:val="en-GB"/>
        </w:rPr>
      </w:pPr>
      <w:r w:rsidRPr="00A32D86">
        <w:rPr>
          <w:rStyle w:val="FootnoteReference"/>
          <w:rFonts w:ascii="Times New Roman" w:hAnsi="Times New Roman"/>
          <w:sz w:val="20"/>
        </w:rPr>
        <w:footnoteRef/>
      </w:r>
      <w:r w:rsidRPr="00A32D86">
        <w:rPr>
          <w:rFonts w:ascii="Times New Roman" w:hAnsi="Times New Roman"/>
          <w:sz w:val="20"/>
          <w:lang w:val="en-GB"/>
        </w:rPr>
        <w:t xml:space="preserve"> Refer to Article 4(17) of Directive (EU) 2015/2366.</w:t>
      </w:r>
    </w:p>
  </w:footnote>
  <w:footnote w:id="17">
    <w:p w14:paraId="193AD198" w14:textId="6C6D04AF" w:rsidR="000164EB" w:rsidRPr="008A7D07" w:rsidRDefault="000164EB" w:rsidP="0055503F">
      <w:pPr>
        <w:pStyle w:val="FootnoteText"/>
        <w:rPr>
          <w:lang w:val="en-GB"/>
        </w:rPr>
      </w:pPr>
      <w:r>
        <w:rPr>
          <w:rStyle w:val="FootnoteReference"/>
        </w:rPr>
        <w:footnoteRef/>
      </w:r>
      <w:r w:rsidRPr="008A7D07">
        <w:rPr>
          <w:lang w:val="en-GB"/>
        </w:rPr>
        <w:t xml:space="preserve"> </w:t>
      </w:r>
      <w:r w:rsidRPr="0055503F">
        <w:rPr>
          <w:rFonts w:ascii="Times New Roman" w:hAnsi="Times New Roman"/>
          <w:lang w:val="en-GB"/>
        </w:rPr>
        <w:t>In principle the ASPSP reports the location of the branch if this is a cross-border branch (but not the location of the headquarter). If the AISP operates directly (not through a branch), then the country in which it has been licensed should be reported</w:t>
      </w:r>
      <w:r>
        <w:rPr>
          <w:rFonts w:ascii="Times New Roman" w:hAnsi="Times New Roman"/>
          <w:lang w:val="en-GB"/>
        </w:rPr>
        <w:t>.</w:t>
      </w:r>
    </w:p>
  </w:footnote>
  <w:footnote w:id="18">
    <w:p w14:paraId="0542F895" w14:textId="77777777" w:rsidR="000164EB" w:rsidRPr="00A32D86" w:rsidRDefault="000164EB" w:rsidP="005B7F71">
      <w:pPr>
        <w:pStyle w:val="FootnoteText"/>
        <w:jc w:val="both"/>
        <w:rPr>
          <w:rFonts w:ascii="Times New Roman" w:hAnsi="Times New Roman"/>
          <w:lang w:val="en-GB"/>
        </w:rPr>
      </w:pPr>
      <w:r w:rsidRPr="00A32D86">
        <w:rPr>
          <w:rStyle w:val="FootnoteReference"/>
          <w:rFonts w:ascii="Times New Roman" w:hAnsi="Times New Roman"/>
        </w:rPr>
        <w:footnoteRef/>
      </w:r>
      <w:r w:rsidRPr="00A32D86">
        <w:rPr>
          <w:rFonts w:ascii="Times New Roman" w:hAnsi="Times New Roman"/>
          <w:lang w:val="en-GB"/>
        </w:rPr>
        <w:t xml:space="preserve"> For cards with more than one card number, each unique card number is counted, irrespective of the form of that card (physical card, another device such as a smartphone or key tag or virtual without physical device).</w:t>
      </w:r>
    </w:p>
  </w:footnote>
  <w:footnote w:id="19">
    <w:p w14:paraId="754728F8" w14:textId="77777777" w:rsidR="000164EB" w:rsidRPr="00A32D86" w:rsidRDefault="000164EB" w:rsidP="005B7F71">
      <w:pPr>
        <w:pStyle w:val="FootnoteText"/>
        <w:jc w:val="both"/>
        <w:rPr>
          <w:rFonts w:ascii="Times New Roman" w:hAnsi="Times New Roman"/>
          <w:lang w:val="en-GB"/>
        </w:rPr>
      </w:pPr>
      <w:r w:rsidRPr="00A32D86">
        <w:rPr>
          <w:rStyle w:val="FootnoteReference"/>
          <w:rFonts w:ascii="Times New Roman" w:hAnsi="Times New Roman"/>
        </w:rPr>
        <w:footnoteRef/>
      </w:r>
      <w:r w:rsidRPr="00A32D86">
        <w:rPr>
          <w:rFonts w:ascii="Times New Roman" w:hAnsi="Times New Roman"/>
          <w:lang w:val="en-GB"/>
        </w:rPr>
        <w:t xml:space="preserve"> Refer to the Electronic Money Directive (Directive 2009/110/EC).</w:t>
      </w:r>
    </w:p>
  </w:footnote>
  <w:footnote w:id="20">
    <w:p w14:paraId="45FB9ED1" w14:textId="77777777" w:rsidR="000164EB" w:rsidRPr="00A32D86" w:rsidRDefault="000164EB" w:rsidP="005441B4">
      <w:pPr>
        <w:pStyle w:val="FootnoteText"/>
        <w:jc w:val="both"/>
        <w:rPr>
          <w:rFonts w:ascii="Times New Roman" w:hAnsi="Times New Roman"/>
          <w:lang w:val="en-GB"/>
        </w:rPr>
      </w:pPr>
      <w:r w:rsidRPr="00A32D86">
        <w:rPr>
          <w:rStyle w:val="FootnoteReference"/>
          <w:rFonts w:ascii="Times New Roman" w:hAnsi="Times New Roman"/>
        </w:rPr>
        <w:footnoteRef/>
      </w:r>
      <w:r w:rsidRPr="00A32D86">
        <w:rPr>
          <w:rFonts w:ascii="Times New Roman" w:hAnsi="Times New Roman"/>
          <w:lang w:val="en-GB"/>
        </w:rPr>
        <w:t xml:space="preserve"> A card with a debit function enables the cardholder to initiate payment transactions where each single debt incurred is credited to the account of the payer without any significant delay.</w:t>
      </w:r>
    </w:p>
  </w:footnote>
  <w:footnote w:id="21">
    <w:p w14:paraId="610880FB" w14:textId="77777777" w:rsidR="000164EB" w:rsidRPr="00A32D86" w:rsidRDefault="000164EB" w:rsidP="005441B4">
      <w:pPr>
        <w:pStyle w:val="FootnoteText"/>
        <w:jc w:val="both"/>
        <w:rPr>
          <w:rFonts w:ascii="Times New Roman" w:hAnsi="Times New Roman"/>
          <w:lang w:val="en-GB"/>
        </w:rPr>
      </w:pPr>
      <w:r w:rsidRPr="00A32D86">
        <w:rPr>
          <w:rStyle w:val="FootnoteReference"/>
          <w:rFonts w:ascii="Times New Roman" w:hAnsi="Times New Roman"/>
        </w:rPr>
        <w:footnoteRef/>
      </w:r>
      <w:r w:rsidRPr="00A32D86">
        <w:rPr>
          <w:rFonts w:ascii="Times New Roman" w:hAnsi="Times New Roman"/>
          <w:lang w:val="en-GB"/>
        </w:rPr>
        <w:t xml:space="preserve"> The distinguishing feature of a card with a delayed debit function, in contrast to a card with a credit function or a debit function, is the contractual agreement granting a credit line but including an obligation to settle the debt incurred at the end of a pre-defined period without charging interest rates. It is commonly referred to as a ‘charge card’. </w:t>
      </w:r>
    </w:p>
  </w:footnote>
  <w:footnote w:id="22">
    <w:p w14:paraId="1E48FAD9" w14:textId="77777777" w:rsidR="000164EB" w:rsidRPr="00445BF8" w:rsidRDefault="000164EB" w:rsidP="005441B4">
      <w:pPr>
        <w:pStyle w:val="FootnoteText"/>
        <w:jc w:val="both"/>
        <w:rPr>
          <w:rFonts w:ascii="Times New Roman" w:hAnsi="Times New Roman"/>
          <w:lang w:val="en-GB"/>
        </w:rPr>
      </w:pPr>
      <w:r w:rsidRPr="00A32D86">
        <w:rPr>
          <w:rStyle w:val="FootnoteReference"/>
          <w:rFonts w:ascii="Times New Roman" w:hAnsi="Times New Roman"/>
        </w:rPr>
        <w:footnoteRef/>
      </w:r>
      <w:r w:rsidRPr="00A32D86">
        <w:rPr>
          <w:rFonts w:ascii="Times New Roman" w:hAnsi="Times New Roman"/>
          <w:lang w:val="en-GB"/>
        </w:rPr>
        <w:t xml:space="preserve"> </w:t>
      </w:r>
      <w:r w:rsidRPr="00A32D86">
        <w:rPr>
          <w:rFonts w:ascii="Times New Roman" w:hAnsi="Times New Roman"/>
          <w:lang w:val="en-GB"/>
        </w:rPr>
        <w:t>A card with a credit function enables the payer to initiate transaction, where the amount of the transaction is debited in full or in part at a pre agreed date to the payer, in line with a prearranged credit facility, with or without interest.</w:t>
      </w:r>
    </w:p>
  </w:footnote>
  <w:footnote w:id="23">
    <w:p w14:paraId="70CC0C41" w14:textId="77777777" w:rsidR="000164EB" w:rsidRPr="00065EC6" w:rsidRDefault="000164EB" w:rsidP="002B34A5">
      <w:pPr>
        <w:pStyle w:val="FootnoteText"/>
        <w:jc w:val="both"/>
        <w:rPr>
          <w:rFonts w:ascii="Times New Roman" w:hAnsi="Times New Roman"/>
          <w:lang w:val="en-GB"/>
        </w:rPr>
      </w:pPr>
      <w:r w:rsidRPr="00065EC6">
        <w:rPr>
          <w:rStyle w:val="FootnoteReference"/>
          <w:rFonts w:ascii="Times New Roman" w:hAnsi="Times New Roman"/>
        </w:rPr>
        <w:footnoteRef/>
      </w:r>
      <w:r w:rsidRPr="00065EC6">
        <w:rPr>
          <w:rFonts w:ascii="Times New Roman" w:hAnsi="Times New Roman"/>
          <w:lang w:val="en-GB"/>
        </w:rPr>
        <w:t xml:space="preserve"> PCSs may include domestic and international schemes. International schemes are Visa (e.g. Visa Credit, </w:t>
      </w:r>
      <w:r w:rsidRPr="00065EC6">
        <w:rPr>
          <w:rFonts w:ascii="Times New Roman" w:hAnsi="Times New Roman"/>
          <w:lang w:val="en-GB"/>
        </w:rPr>
        <w:t>VPay), MasterCard (e.g. Maestro, MasterCard), American Express, Diners Club, China Union Pay, Discover and JCB.</w:t>
      </w:r>
    </w:p>
  </w:footnote>
  <w:footnote w:id="24">
    <w:p w14:paraId="5EFF0702" w14:textId="77777777" w:rsidR="000164EB" w:rsidRPr="00065EC6" w:rsidRDefault="000164EB" w:rsidP="002B34A5">
      <w:pPr>
        <w:pStyle w:val="FootnoteText"/>
        <w:jc w:val="both"/>
        <w:rPr>
          <w:rFonts w:ascii="Times New Roman" w:hAnsi="Times New Roman"/>
          <w:lang w:val="en-GB"/>
        </w:rPr>
      </w:pPr>
      <w:r w:rsidRPr="00065EC6">
        <w:rPr>
          <w:rStyle w:val="FootnoteReference"/>
          <w:rFonts w:ascii="Times New Roman" w:hAnsi="Times New Roman"/>
        </w:rPr>
        <w:footnoteRef/>
      </w:r>
      <w:r w:rsidRPr="00065EC6">
        <w:rPr>
          <w:rFonts w:ascii="Times New Roman" w:hAnsi="Times New Roman"/>
          <w:lang w:val="en-GB"/>
        </w:rPr>
        <w:t xml:space="preserve"> Such instruments may include store cards, petrol cards, membership cards, public transport cards, meal vouchers or vouchers for services. These cards and transactions with these cards should not be reported.</w:t>
      </w:r>
    </w:p>
  </w:footnote>
  <w:footnote w:id="25">
    <w:p w14:paraId="78BCB90E" w14:textId="43D9EF0A" w:rsidR="000164EB" w:rsidRDefault="000164EB" w:rsidP="002B34A5">
      <w:pPr>
        <w:pStyle w:val="FootnoteText"/>
        <w:jc w:val="both"/>
        <w:rPr>
          <w:rFonts w:ascii="Times New Roman" w:hAnsi="Times New Roman"/>
          <w:lang w:val="en-GB"/>
        </w:rPr>
      </w:pPr>
      <w:r w:rsidRPr="00065EC6">
        <w:rPr>
          <w:rStyle w:val="FootnoteReference"/>
          <w:rFonts w:ascii="Times New Roman" w:hAnsi="Times New Roman"/>
        </w:rPr>
        <w:footnoteRef/>
      </w:r>
      <w:r w:rsidRPr="00065EC6">
        <w:rPr>
          <w:rFonts w:ascii="Times New Roman" w:hAnsi="Times New Roman"/>
          <w:lang w:val="en-GB"/>
        </w:rPr>
        <w:t xml:space="preserve"> E-money held on a card in the e-money holder’s possession. This is the number of prepaid cards that can be purchased without having an account.</w:t>
      </w:r>
    </w:p>
    <w:p w14:paraId="1AB41BEA" w14:textId="2329B9D8" w:rsidR="00E85340" w:rsidRPr="00065EC6" w:rsidRDefault="00E85340" w:rsidP="002B34A5">
      <w:pPr>
        <w:pStyle w:val="FootnoteText"/>
        <w:jc w:val="both"/>
        <w:rPr>
          <w:rFonts w:ascii="Times New Roman" w:hAnsi="Times New Roman"/>
          <w:lang w:val="en-GB"/>
        </w:rPr>
      </w:pPr>
      <w:r>
        <w:rPr>
          <w:rFonts w:ascii="Times New Roman" w:hAnsi="Times New Roman"/>
          <w:lang w:val="en-GB"/>
        </w:rPr>
        <w:t>Under this type of e-money card,</w:t>
      </w:r>
      <w:r w:rsidRPr="00E85340">
        <w:rPr>
          <w:rFonts w:ascii="Times New Roman" w:hAnsi="Times New Roman"/>
          <w:lang w:val="en-GB"/>
        </w:rPr>
        <w:t xml:space="preserve"> the e-money is stored on the card itself (hardware-based). Consequently, if the card is lost, where the e-money is stored directly on the card, the </w:t>
      </w:r>
      <w:r>
        <w:rPr>
          <w:rFonts w:ascii="Times New Roman" w:hAnsi="Times New Roman"/>
          <w:lang w:val="en-GB"/>
        </w:rPr>
        <w:t>user will lose his or her funds</w:t>
      </w:r>
      <w:r w:rsidRPr="00E85340">
        <w:rPr>
          <w:rFonts w:ascii="Times New Roman" w:hAnsi="Times New Roman"/>
          <w:lang w:val="en-GB"/>
        </w:rPr>
        <w:t>.</w:t>
      </w:r>
    </w:p>
  </w:footnote>
  <w:footnote w:id="26">
    <w:p w14:paraId="7B144C69" w14:textId="6BBB047B" w:rsidR="000164EB" w:rsidRPr="00065EC6" w:rsidRDefault="000164EB" w:rsidP="002B34A5">
      <w:pPr>
        <w:pStyle w:val="FootnoteText"/>
        <w:jc w:val="both"/>
        <w:rPr>
          <w:rFonts w:ascii="Times New Roman" w:hAnsi="Times New Roman"/>
          <w:lang w:val="en-GB"/>
        </w:rPr>
      </w:pPr>
      <w:r w:rsidRPr="00065EC6">
        <w:rPr>
          <w:rStyle w:val="FootnoteReference"/>
          <w:rFonts w:ascii="Times New Roman" w:hAnsi="Times New Roman"/>
        </w:rPr>
        <w:footnoteRef/>
      </w:r>
      <w:r w:rsidRPr="00065EC6">
        <w:rPr>
          <w:rFonts w:ascii="Times New Roman" w:hAnsi="Times New Roman"/>
          <w:lang w:val="en-GB"/>
        </w:rPr>
        <w:t xml:space="preserve"> Cards linked to e-money (card) accounts.</w:t>
      </w:r>
      <w:r w:rsidR="00E85340">
        <w:rPr>
          <w:rFonts w:ascii="Times New Roman" w:hAnsi="Times New Roman"/>
          <w:lang w:val="en-GB"/>
        </w:rPr>
        <w:t xml:space="preserve"> </w:t>
      </w:r>
      <w:r w:rsidR="00E85340" w:rsidRPr="00E85340">
        <w:rPr>
          <w:rFonts w:ascii="Times New Roman" w:hAnsi="Times New Roman"/>
          <w:lang w:val="en-GB"/>
        </w:rPr>
        <w:t>Under this type of e-money card, the e-money is stored on e-money accounts (software-based) meaning that the e-money is stored on a server (in which case the card gives access to the server). Consequently, even if the card is lost, if the card accesses the e-money stored on the server, i.e. his or her e-money account, it is possible to issue a new card to access the funds.</w:t>
      </w:r>
    </w:p>
  </w:footnote>
  <w:footnote w:id="27">
    <w:p w14:paraId="54C461F0" w14:textId="77777777" w:rsidR="000164EB" w:rsidRPr="00021F2A" w:rsidRDefault="000164EB" w:rsidP="002B34A5">
      <w:pPr>
        <w:jc w:val="both"/>
        <w:rPr>
          <w:rFonts w:cs="Arial"/>
          <w:sz w:val="18"/>
          <w:szCs w:val="18"/>
          <w:lang w:val="en-GB"/>
        </w:rPr>
      </w:pPr>
      <w:r w:rsidRPr="00065EC6">
        <w:rPr>
          <w:rStyle w:val="FootnoteReference"/>
          <w:rFonts w:ascii="Times New Roman" w:hAnsi="Times New Roman"/>
          <w:sz w:val="20"/>
        </w:rPr>
        <w:footnoteRef/>
      </w:r>
      <w:r w:rsidRPr="00065EC6">
        <w:rPr>
          <w:rFonts w:ascii="Times New Roman" w:hAnsi="Times New Roman"/>
          <w:sz w:val="20"/>
          <w:lang w:val="en-GB"/>
        </w:rPr>
        <w:t xml:space="preserve"> All cards that have been loaded are reported under this item, irrespective of when exactly this loading took place (not necessarily during the reference period). Only cards still valid at the end of the reporting period should be reported.</w:t>
      </w:r>
    </w:p>
  </w:footnote>
  <w:footnote w:id="28">
    <w:p w14:paraId="68E26806" w14:textId="6270986A" w:rsidR="000164EB" w:rsidRPr="002B34A5" w:rsidRDefault="000164EB" w:rsidP="005947B1">
      <w:pPr>
        <w:jc w:val="both"/>
        <w:rPr>
          <w:rFonts w:ascii="Times New Roman" w:hAnsi="Times New Roman"/>
          <w:sz w:val="20"/>
          <w:lang w:val="en-GB"/>
        </w:rPr>
      </w:pPr>
      <w:r w:rsidRPr="002B34A5">
        <w:rPr>
          <w:rStyle w:val="FootnoteReference"/>
          <w:rFonts w:ascii="Times New Roman" w:hAnsi="Times New Roman"/>
          <w:sz w:val="20"/>
        </w:rPr>
        <w:footnoteRef/>
      </w:r>
      <w:r w:rsidRPr="002B34A5">
        <w:rPr>
          <w:rFonts w:ascii="Times New Roman" w:hAnsi="Times New Roman"/>
          <w:sz w:val="20"/>
          <w:lang w:val="en-GB"/>
        </w:rPr>
        <w:t xml:space="preserve"> All valid cards in circulation that have all of these functions are included.</w:t>
      </w:r>
      <w:r>
        <w:rPr>
          <w:rFonts w:ascii="Times New Roman" w:hAnsi="Times New Roman"/>
          <w:sz w:val="20"/>
          <w:lang w:val="en-GB"/>
        </w:rPr>
        <w:t xml:space="preserve"> Basically, </w:t>
      </w:r>
      <w:r w:rsidRPr="00D262BA">
        <w:rPr>
          <w:rFonts w:ascii="Times New Roman" w:hAnsi="Times New Roman"/>
          <w:sz w:val="20"/>
          <w:lang w:val="en-GB"/>
        </w:rPr>
        <w:t>the card itself combines the three functions, i.e., there are separate card numbers connected to separate accounts (one card number to an e-money account and another one to a current account and on top – cash function is also offered), regardless of whether physically these card numbers, respectively functions, are combined by one plastic only. According to part 2.1.(6) of Annex I to the PAY Regulation, such combined cards are also reported in each of the sub-categories for “debit card”, “cards with a cash function” and “cards with an e-money function”.</w:t>
      </w:r>
    </w:p>
  </w:footnote>
  <w:footnote w:id="29">
    <w:p w14:paraId="23D671A1" w14:textId="77777777" w:rsidR="000164EB" w:rsidRPr="006327BA" w:rsidRDefault="000164EB" w:rsidP="005947B1">
      <w:pPr>
        <w:pStyle w:val="FootnoteText"/>
        <w:jc w:val="both"/>
        <w:rPr>
          <w:rFonts w:ascii="Times New Roman" w:hAnsi="Times New Roman"/>
          <w:lang w:val="en-GB"/>
        </w:rPr>
      </w:pPr>
      <w:r w:rsidRPr="002B34A5">
        <w:rPr>
          <w:rStyle w:val="FootnoteReference"/>
          <w:rFonts w:ascii="Times New Roman" w:hAnsi="Times New Roman"/>
        </w:rPr>
        <w:footnoteRef/>
      </w:r>
      <w:r w:rsidRPr="002B34A5">
        <w:rPr>
          <w:rFonts w:ascii="Times New Roman" w:hAnsi="Times New Roman"/>
          <w:lang w:val="en-GB"/>
        </w:rPr>
        <w:t xml:space="preserve"> All cards that enable the PSU to make contactless payments are included. </w:t>
      </w:r>
      <w:r>
        <w:rPr>
          <w:rFonts w:ascii="Times New Roman" w:hAnsi="Times New Roman"/>
          <w:lang w:val="en-GB"/>
        </w:rPr>
        <w:t>P</w:t>
      </w:r>
      <w:r w:rsidRPr="002B34A5">
        <w:rPr>
          <w:rFonts w:ascii="Times New Roman" w:hAnsi="Times New Roman"/>
          <w:lang w:val="en-GB"/>
        </w:rPr>
        <w:t xml:space="preserve">hysical </w:t>
      </w:r>
      <w:r>
        <w:rPr>
          <w:rFonts w:ascii="Times New Roman" w:hAnsi="Times New Roman"/>
          <w:lang w:val="en-GB"/>
        </w:rPr>
        <w:t>and digitalised</w:t>
      </w:r>
      <w:r w:rsidRPr="006327BA">
        <w:rPr>
          <w:rFonts w:ascii="Times New Roman" w:hAnsi="Times New Roman"/>
          <w:lang w:val="en-GB"/>
        </w:rPr>
        <w:t xml:space="preserve"> cards are also included.  </w:t>
      </w:r>
    </w:p>
  </w:footnote>
  <w:footnote w:id="30">
    <w:p w14:paraId="74D2012E" w14:textId="77777777" w:rsidR="000164EB" w:rsidRPr="002D4F08" w:rsidRDefault="000164EB" w:rsidP="005947B1">
      <w:pPr>
        <w:pStyle w:val="FootnoteText"/>
        <w:jc w:val="both"/>
        <w:rPr>
          <w:rFonts w:ascii="Times New Roman" w:hAnsi="Times New Roman"/>
          <w:lang w:val="en-GB"/>
        </w:rPr>
      </w:pPr>
      <w:r w:rsidRPr="002D4F08">
        <w:rPr>
          <w:rStyle w:val="FootnoteReference"/>
          <w:rFonts w:ascii="Times New Roman" w:hAnsi="Times New Roman"/>
        </w:rPr>
        <w:footnoteRef/>
      </w:r>
      <w:r w:rsidRPr="002D4F08">
        <w:rPr>
          <w:rFonts w:ascii="Times New Roman" w:hAnsi="Times New Roman"/>
          <w:lang w:val="en-GB"/>
        </w:rPr>
        <w:t xml:space="preserve"> ATMs which allow authorised users to withdraw cash from their accounts using a card-based payment instrument.</w:t>
      </w:r>
    </w:p>
  </w:footnote>
  <w:footnote w:id="31">
    <w:p w14:paraId="37843DCB" w14:textId="2CB66FDD" w:rsidR="000164EB" w:rsidRPr="000A1755" w:rsidRDefault="000164EB" w:rsidP="000A1755">
      <w:pPr>
        <w:jc w:val="both"/>
        <w:rPr>
          <w:rFonts w:cs="Arial"/>
          <w:sz w:val="18"/>
          <w:szCs w:val="18"/>
          <w:lang w:val="en-GB"/>
        </w:rPr>
      </w:pPr>
      <w:r w:rsidRPr="002D4F08">
        <w:rPr>
          <w:rStyle w:val="FootnoteReference"/>
          <w:rFonts w:ascii="Times New Roman" w:hAnsi="Times New Roman"/>
        </w:rPr>
        <w:footnoteRef/>
      </w:r>
      <w:r w:rsidRPr="002D4F08">
        <w:rPr>
          <w:rFonts w:ascii="Times New Roman" w:hAnsi="Times New Roman"/>
          <w:lang w:val="en-GB"/>
        </w:rPr>
        <w:t xml:space="preserve"> </w:t>
      </w:r>
      <w:r w:rsidRPr="000A1755">
        <w:rPr>
          <w:rFonts w:ascii="Times New Roman" w:hAnsi="Times New Roman"/>
          <w:sz w:val="20"/>
          <w:lang w:val="en-GB"/>
        </w:rPr>
        <w:t xml:space="preserve">ATMs which allow authorised users to make credit transfers using a card-based payment instrument. ATMs allowing users to pay utility bills are included. </w:t>
      </w:r>
      <w:r>
        <w:rPr>
          <w:rFonts w:ascii="Times New Roman" w:hAnsi="Times New Roman"/>
          <w:sz w:val="20"/>
          <w:lang w:val="en-GB"/>
        </w:rPr>
        <w:t>T</w:t>
      </w:r>
      <w:r w:rsidRPr="00322FE6">
        <w:rPr>
          <w:rFonts w:ascii="Times New Roman" w:hAnsi="Times New Roman"/>
          <w:sz w:val="20"/>
          <w:lang w:val="en-GB"/>
        </w:rPr>
        <w:t>he customer uses his/her card only to identify himself/herself to the machine, but the credit transfer order is placed physically in the terminal.</w:t>
      </w:r>
    </w:p>
  </w:footnote>
  <w:footnote w:id="32">
    <w:p w14:paraId="674366CA" w14:textId="77777777" w:rsidR="000164EB" w:rsidRPr="002D4F08" w:rsidRDefault="000164EB" w:rsidP="005947B1">
      <w:pPr>
        <w:pStyle w:val="FootnoteText"/>
        <w:jc w:val="both"/>
        <w:rPr>
          <w:rFonts w:ascii="Times New Roman" w:hAnsi="Times New Roman"/>
          <w:lang w:val="en-GB"/>
        </w:rPr>
      </w:pPr>
      <w:r w:rsidRPr="002D4F08">
        <w:rPr>
          <w:rStyle w:val="FootnoteReference"/>
          <w:rFonts w:ascii="Times New Roman" w:hAnsi="Times New Roman"/>
        </w:rPr>
        <w:footnoteRef/>
      </w:r>
      <w:r w:rsidRPr="002D4F08">
        <w:rPr>
          <w:rFonts w:ascii="Times New Roman" w:hAnsi="Times New Roman"/>
          <w:lang w:val="en-GB"/>
        </w:rPr>
        <w:t xml:space="preserve"> Include ATMs that allow the PSU to withdraw or deposit cash or initiate a payment transaction using the contactless function of their cards.</w:t>
      </w:r>
    </w:p>
  </w:footnote>
  <w:footnote w:id="33">
    <w:p w14:paraId="1FCB4F9E" w14:textId="77777777" w:rsidR="000164EB" w:rsidRPr="002D4F08" w:rsidRDefault="000164EB" w:rsidP="005947B1">
      <w:pPr>
        <w:pStyle w:val="FootnoteText"/>
        <w:jc w:val="both"/>
        <w:rPr>
          <w:rFonts w:ascii="Times New Roman" w:hAnsi="Times New Roman"/>
          <w:lang w:val="en-GB"/>
        </w:rPr>
      </w:pPr>
      <w:r w:rsidRPr="002D4F08">
        <w:rPr>
          <w:rStyle w:val="FootnoteReference"/>
          <w:rFonts w:ascii="Times New Roman" w:hAnsi="Times New Roman"/>
        </w:rPr>
        <w:footnoteRef/>
      </w:r>
      <w:r w:rsidRPr="002D4F08">
        <w:rPr>
          <w:rFonts w:ascii="Times New Roman" w:hAnsi="Times New Roman"/>
          <w:lang w:val="en-GB"/>
        </w:rPr>
        <w:t xml:space="preserve"> POS terminals include attended and unattended terminals (e.g. terminals for paying gas or parking tickets).</w:t>
      </w:r>
    </w:p>
  </w:footnote>
  <w:footnote w:id="34">
    <w:p w14:paraId="1A7C36EC" w14:textId="36E15018" w:rsidR="00A9764A" w:rsidRPr="00A9764A" w:rsidRDefault="00A9764A">
      <w:pPr>
        <w:pStyle w:val="FootnoteText"/>
        <w:rPr>
          <w:lang w:val="en-US"/>
        </w:rPr>
      </w:pPr>
      <w:r>
        <w:rPr>
          <w:rStyle w:val="FootnoteReference"/>
        </w:rPr>
        <w:footnoteRef/>
      </w:r>
      <w:r w:rsidRPr="00A9764A">
        <w:rPr>
          <w:lang w:val="en-US"/>
        </w:rPr>
        <w:t xml:space="preserve"> </w:t>
      </w:r>
      <w:r w:rsidRPr="00A9764A">
        <w:rPr>
          <w:rFonts w:ascii="Times New Roman" w:hAnsi="Times New Roman"/>
          <w:lang w:val="en-GB"/>
        </w:rPr>
        <w:t>An mPOS (mobile point of sale) is a smartphone, tablet or dedicated wireless device that performs the functions of a cash register or electronic POS terminal wirelessly.</w:t>
      </w:r>
    </w:p>
  </w:footnote>
  <w:footnote w:id="35">
    <w:p w14:paraId="55BA1A04" w14:textId="77777777" w:rsidR="000164EB" w:rsidRPr="002D4F08" w:rsidRDefault="000164EB" w:rsidP="005947B1">
      <w:pPr>
        <w:jc w:val="both"/>
        <w:rPr>
          <w:rFonts w:ascii="Times New Roman" w:hAnsi="Times New Roman"/>
          <w:sz w:val="20"/>
          <w:lang w:val="en-GB"/>
        </w:rPr>
      </w:pPr>
      <w:r w:rsidRPr="002D4F08">
        <w:rPr>
          <w:rStyle w:val="FootnoteReference"/>
          <w:rFonts w:ascii="Times New Roman" w:hAnsi="Times New Roman"/>
          <w:sz w:val="20"/>
        </w:rPr>
        <w:footnoteRef/>
      </w:r>
      <w:r w:rsidRPr="002D4F08">
        <w:rPr>
          <w:rFonts w:ascii="Times New Roman" w:hAnsi="Times New Roman"/>
          <w:sz w:val="20"/>
          <w:lang w:val="en-GB"/>
        </w:rPr>
        <w:t xml:space="preserve"> An EFTPOS</w:t>
      </w:r>
      <w:r>
        <w:rPr>
          <w:rFonts w:ascii="Times New Roman" w:hAnsi="Times New Roman"/>
          <w:sz w:val="20"/>
          <w:lang w:val="en-GB"/>
        </w:rPr>
        <w:t xml:space="preserve"> (</w:t>
      </w:r>
      <w:r w:rsidRPr="00A424A6">
        <w:rPr>
          <w:rFonts w:ascii="Times New Roman" w:hAnsi="Times New Roman"/>
          <w:sz w:val="20"/>
          <w:lang w:val="en-GB"/>
        </w:rPr>
        <w:t>Electronic Funds Transfer at the Point of Sale</w:t>
      </w:r>
      <w:r>
        <w:rPr>
          <w:rFonts w:ascii="Times New Roman" w:hAnsi="Times New Roman"/>
          <w:sz w:val="20"/>
          <w:lang w:val="en-GB"/>
        </w:rPr>
        <w:t>)</w:t>
      </w:r>
      <w:r w:rsidRPr="002D4F08">
        <w:rPr>
          <w:rFonts w:ascii="Times New Roman" w:hAnsi="Times New Roman"/>
          <w:sz w:val="20"/>
          <w:lang w:val="en-GB"/>
        </w:rPr>
        <w:t xml:space="preserve"> terminal captures payment information by electronic means. It may include unattended terminals. EFTPOS terminals is a subcategory of POS terminals.</w:t>
      </w:r>
    </w:p>
  </w:footnote>
  <w:footnote w:id="36">
    <w:p w14:paraId="5F84FF71" w14:textId="77777777" w:rsidR="000164EB" w:rsidRPr="002D4F08" w:rsidRDefault="000164EB" w:rsidP="007D23A6">
      <w:pPr>
        <w:pStyle w:val="FootnoteText"/>
        <w:jc w:val="both"/>
        <w:rPr>
          <w:rFonts w:ascii="Times New Roman" w:hAnsi="Times New Roman"/>
          <w:lang w:val="en-GB"/>
        </w:rPr>
      </w:pPr>
      <w:r w:rsidRPr="002D4F08">
        <w:rPr>
          <w:rStyle w:val="FootnoteReference"/>
          <w:rFonts w:ascii="Times New Roman" w:hAnsi="Times New Roman"/>
        </w:rPr>
        <w:footnoteRef/>
      </w:r>
      <w:r w:rsidRPr="002D4F08">
        <w:rPr>
          <w:rFonts w:ascii="Times New Roman" w:hAnsi="Times New Roman"/>
          <w:lang w:val="en-GB"/>
        </w:rPr>
        <w:t xml:space="preserve"> Includes POS terminals that allow the PSU to initiate a payment using the contactless function of the card.</w:t>
      </w:r>
    </w:p>
  </w:footnote>
  <w:footnote w:id="37">
    <w:p w14:paraId="0C4872C9" w14:textId="77777777" w:rsidR="000164EB" w:rsidRPr="002D4F08" w:rsidRDefault="000164EB" w:rsidP="007D23A6">
      <w:pPr>
        <w:jc w:val="both"/>
        <w:rPr>
          <w:rFonts w:ascii="Times New Roman" w:hAnsi="Times New Roman"/>
          <w:sz w:val="20"/>
          <w:lang w:val="en-GB"/>
        </w:rPr>
      </w:pPr>
      <w:r w:rsidRPr="002D4F08">
        <w:rPr>
          <w:rStyle w:val="FootnoteReference"/>
          <w:rFonts w:ascii="Times New Roman" w:hAnsi="Times New Roman"/>
          <w:sz w:val="20"/>
        </w:rPr>
        <w:footnoteRef/>
      </w:r>
      <w:r w:rsidRPr="002D4F08">
        <w:rPr>
          <w:rStyle w:val="FootnoteReference"/>
          <w:rFonts w:ascii="Times New Roman" w:hAnsi="Times New Roman"/>
          <w:sz w:val="20"/>
          <w:lang w:val="en-GB"/>
        </w:rPr>
        <w:t xml:space="preserve"> </w:t>
      </w:r>
      <w:r w:rsidRPr="002D4F08">
        <w:rPr>
          <w:rFonts w:ascii="Times New Roman" w:hAnsi="Times New Roman"/>
          <w:sz w:val="20"/>
          <w:lang w:val="en-GB"/>
        </w:rPr>
        <w:t>A POS terminal that can accept both card-based and e-money payments. E-money card terminals only accepting e-money payments are not included. EFTPOS terminals accepting e-money card transactions are also included in the item ‘e-money card accepting terminals’. The opposite does not hold true.</w:t>
      </w:r>
    </w:p>
  </w:footnote>
  <w:footnote w:id="38">
    <w:p w14:paraId="52684F9A" w14:textId="77777777" w:rsidR="000164EB" w:rsidRPr="002D4F08" w:rsidRDefault="000164EB" w:rsidP="007D23A6">
      <w:pPr>
        <w:jc w:val="both"/>
        <w:rPr>
          <w:rFonts w:ascii="Times New Roman" w:hAnsi="Times New Roman"/>
          <w:sz w:val="20"/>
          <w:lang w:val="en-GB"/>
        </w:rPr>
      </w:pPr>
      <w:r w:rsidRPr="002D4F08">
        <w:rPr>
          <w:rStyle w:val="FootnoteReference"/>
          <w:rFonts w:ascii="Times New Roman" w:hAnsi="Times New Roman"/>
          <w:sz w:val="20"/>
        </w:rPr>
        <w:footnoteRef/>
      </w:r>
      <w:r w:rsidRPr="002D4F08">
        <w:rPr>
          <w:rFonts w:ascii="Times New Roman" w:hAnsi="Times New Roman"/>
          <w:sz w:val="20"/>
          <w:lang w:val="en-GB"/>
        </w:rPr>
        <w:t xml:space="preserve"> Terminal allowing the transfer of e-money value from an electronic money issuer to the holder of a card with an e-money function and vice versa, i.e. loading and unloading.</w:t>
      </w:r>
    </w:p>
  </w:footnote>
  <w:footnote w:id="39">
    <w:p w14:paraId="06C2A4D6" w14:textId="77777777" w:rsidR="000164EB" w:rsidRPr="00104C73" w:rsidRDefault="000164EB" w:rsidP="007D23A6">
      <w:pPr>
        <w:jc w:val="both"/>
        <w:rPr>
          <w:rFonts w:ascii="Times New Roman" w:hAnsi="Times New Roman"/>
          <w:sz w:val="20"/>
          <w:lang w:val="en-GB"/>
        </w:rPr>
      </w:pPr>
      <w:r w:rsidRPr="002D4F08">
        <w:rPr>
          <w:rStyle w:val="FootnoteReference"/>
          <w:rFonts w:ascii="Times New Roman" w:hAnsi="Times New Roman"/>
          <w:sz w:val="20"/>
        </w:rPr>
        <w:footnoteRef/>
      </w:r>
      <w:r w:rsidRPr="002D4F08">
        <w:rPr>
          <w:rFonts w:ascii="Times New Roman" w:hAnsi="Times New Roman"/>
          <w:sz w:val="20"/>
          <w:lang w:val="en-GB"/>
        </w:rPr>
        <w:t xml:space="preserve"> Terminal allowing holders of e-money on a card with an e-money function to transfer e-money value from their balance to the balance of the merchant or other b</w:t>
      </w:r>
      <w:r>
        <w:rPr>
          <w:rFonts w:ascii="Times New Roman" w:hAnsi="Times New Roman"/>
          <w:sz w:val="20"/>
          <w:lang w:val="en-GB"/>
        </w:rPr>
        <w:t>eneficiary. If all e-money card-</w:t>
      </w:r>
      <w:r w:rsidRPr="002D4F08">
        <w:rPr>
          <w:rFonts w:ascii="Times New Roman" w:hAnsi="Times New Roman"/>
          <w:sz w:val="20"/>
          <w:lang w:val="en-GB"/>
        </w:rPr>
        <w:t>accepting terminals are POS terminals</w:t>
      </w:r>
      <w:r>
        <w:rPr>
          <w:rFonts w:ascii="Times New Roman" w:hAnsi="Times New Roman"/>
          <w:sz w:val="20"/>
          <w:lang w:val="en-GB"/>
        </w:rPr>
        <w:t>, meaning, if each e-money card-</w:t>
      </w:r>
      <w:r w:rsidRPr="002D4F08">
        <w:rPr>
          <w:rFonts w:ascii="Times New Roman" w:hAnsi="Times New Roman"/>
          <w:sz w:val="20"/>
          <w:lang w:val="en-GB"/>
        </w:rPr>
        <w:t xml:space="preserve">accepting terminal also accepts debit, delayed debit or credit cards, then the number of POS terminals accepting e-money transactions is equal to the number of e-money card accepting terminals. </w:t>
      </w:r>
    </w:p>
  </w:footnote>
  <w:footnote w:id="40">
    <w:p w14:paraId="3310580D" w14:textId="152E1249" w:rsidR="006C112C" w:rsidRPr="006C112C" w:rsidRDefault="006C112C" w:rsidP="006C112C">
      <w:pPr>
        <w:tabs>
          <w:tab w:val="left" w:pos="851"/>
          <w:tab w:val="right" w:pos="9356"/>
        </w:tabs>
        <w:jc w:val="both"/>
        <w:rPr>
          <w:lang w:val="en-US"/>
        </w:rPr>
      </w:pPr>
      <w:r w:rsidRPr="006C112C">
        <w:rPr>
          <w:rStyle w:val="FootnoteReference"/>
          <w:rFonts w:ascii="Times New Roman" w:hAnsi="Times New Roman"/>
          <w:sz w:val="20"/>
        </w:rPr>
        <w:footnoteRef/>
      </w:r>
      <w:r w:rsidRPr="006C112C">
        <w:rPr>
          <w:lang w:val="en-US"/>
        </w:rPr>
        <w:t xml:space="preserve"> </w:t>
      </w:r>
      <w:r w:rsidRPr="006C112C">
        <w:rPr>
          <w:rFonts w:ascii="Times New Roman" w:hAnsi="Times New Roman"/>
          <w:sz w:val="20"/>
          <w:lang w:val="en-GB"/>
        </w:rPr>
        <w:t>An act, initiated by the payer or on his behalf or by the payee, of placing, transferring or withdrawing funds, irrespective of any underlying obligations between the payer and the payee.</w:t>
      </w:r>
    </w:p>
  </w:footnote>
  <w:footnote w:id="41">
    <w:p w14:paraId="743A49B4" w14:textId="77777777" w:rsidR="000164EB" w:rsidRPr="00104C73" w:rsidRDefault="000164EB" w:rsidP="005518D4">
      <w:pPr>
        <w:pStyle w:val="FootnoteText"/>
        <w:jc w:val="both"/>
        <w:rPr>
          <w:rFonts w:ascii="Times New Roman" w:hAnsi="Times New Roman"/>
          <w:lang w:val="en-GB"/>
        </w:rPr>
      </w:pPr>
      <w:r w:rsidRPr="00104C73">
        <w:rPr>
          <w:rStyle w:val="FootnoteReference"/>
          <w:rFonts w:ascii="Times New Roman" w:hAnsi="Times New Roman"/>
        </w:rPr>
        <w:footnoteRef/>
      </w:r>
      <w:r w:rsidRPr="00104C73">
        <w:rPr>
          <w:rFonts w:ascii="Times New Roman" w:hAnsi="Times New Roman"/>
          <w:lang w:val="en-GB"/>
        </w:rPr>
        <w:t xml:space="preserve"> In transactions other than card-based payment transactions and cash withdrawals, the two parties involved are usually the payer’s PSP and the payee’s PSP. </w:t>
      </w:r>
    </w:p>
  </w:footnote>
  <w:footnote w:id="42">
    <w:p w14:paraId="7B2A85C8" w14:textId="55C50A03" w:rsidR="000164EB" w:rsidRPr="00D24B45" w:rsidRDefault="000164EB" w:rsidP="005518D4">
      <w:pPr>
        <w:pStyle w:val="FootnoteText"/>
        <w:jc w:val="both"/>
        <w:rPr>
          <w:rFonts w:ascii="Times New Roman" w:hAnsi="Times New Roman"/>
          <w:lang w:val="en-GB"/>
        </w:rPr>
      </w:pPr>
      <w:r w:rsidRPr="00D24B45">
        <w:rPr>
          <w:rStyle w:val="FootnoteReference"/>
          <w:rFonts w:ascii="Times New Roman" w:hAnsi="Times New Roman"/>
        </w:rPr>
        <w:footnoteRef/>
      </w:r>
      <w:r w:rsidRPr="00D24B45">
        <w:rPr>
          <w:rFonts w:ascii="Times New Roman" w:hAnsi="Times New Roman"/>
          <w:lang w:val="en-GB"/>
        </w:rPr>
        <w:t xml:space="preserve"> </w:t>
      </w:r>
      <w:r w:rsidR="00051208">
        <w:rPr>
          <w:rFonts w:ascii="Times New Roman" w:hAnsi="Times New Roman"/>
          <w:lang w:val="en-GB"/>
        </w:rPr>
        <w:t>For card-based transactions, the residency of the counterpart r</w:t>
      </w:r>
      <w:r w:rsidR="00297D6B">
        <w:rPr>
          <w:rFonts w:ascii="Times New Roman" w:hAnsi="Times New Roman"/>
          <w:lang w:val="en-GB"/>
        </w:rPr>
        <w:t xml:space="preserve">efers to either the residency of the issuing PSP or the acquiring PSP. </w:t>
      </w:r>
      <w:r w:rsidRPr="00D24B45">
        <w:rPr>
          <w:rFonts w:ascii="Times New Roman" w:hAnsi="Times New Roman"/>
          <w:lang w:val="en-GB"/>
        </w:rPr>
        <w:t xml:space="preserve">If the </w:t>
      </w:r>
      <w:r>
        <w:rPr>
          <w:rFonts w:ascii="Times New Roman" w:hAnsi="Times New Roman"/>
          <w:lang w:val="en-GB"/>
        </w:rPr>
        <w:t>card issuing PSP is the Reporting A</w:t>
      </w:r>
      <w:r w:rsidRPr="00D24B45">
        <w:rPr>
          <w:rFonts w:ascii="Times New Roman" w:hAnsi="Times New Roman"/>
          <w:lang w:val="en-GB"/>
        </w:rPr>
        <w:t xml:space="preserve">gent, the counterparty is the </w:t>
      </w:r>
      <w:r>
        <w:rPr>
          <w:rFonts w:ascii="Times New Roman" w:hAnsi="Times New Roman"/>
          <w:lang w:val="en-GB"/>
        </w:rPr>
        <w:t>acquiring PSP (‘acquirer’). If the acquiring PSP is the Reporting A</w:t>
      </w:r>
      <w:r w:rsidRPr="00D24B45">
        <w:rPr>
          <w:rFonts w:ascii="Times New Roman" w:hAnsi="Times New Roman"/>
          <w:lang w:val="en-GB"/>
        </w:rPr>
        <w:t xml:space="preserve">gent, the </w:t>
      </w:r>
      <w:r>
        <w:rPr>
          <w:rFonts w:ascii="Times New Roman" w:hAnsi="Times New Roman"/>
          <w:lang w:val="en-GB"/>
        </w:rPr>
        <w:t>counterparty is the issuing PSP</w:t>
      </w:r>
      <w:r w:rsidRPr="00D24B45">
        <w:rPr>
          <w:rFonts w:ascii="Times New Roman" w:hAnsi="Times New Roman"/>
          <w:lang w:val="en-GB"/>
        </w:rPr>
        <w:t xml:space="preserve"> </w:t>
      </w:r>
      <w:r>
        <w:rPr>
          <w:rFonts w:ascii="Times New Roman" w:hAnsi="Times New Roman"/>
          <w:lang w:val="en-GB"/>
        </w:rPr>
        <w:t>(‘issuer’)</w:t>
      </w:r>
      <w:r w:rsidRPr="00D24B45">
        <w:rPr>
          <w:rFonts w:ascii="Times New Roman" w:hAnsi="Times New Roman"/>
          <w:lang w:val="en-GB"/>
        </w:rPr>
        <w:t xml:space="preserve"> (refer to </w:t>
      </w:r>
      <w:r>
        <w:fldChar w:fldCharType="begin"/>
      </w:r>
      <w:r w:rsidRPr="00F53249">
        <w:rPr>
          <w:lang w:val="en-US"/>
        </w:rPr>
        <w:instrText>HYPERLINK "https://eur-lex.europa.eu/legal-content/EN/TXT/PDF/?uri=CELEX:32015R0751&amp;from=EL" \t "_blank"</w:instrText>
      </w:r>
      <w:r>
        <w:fldChar w:fldCharType="separate"/>
      </w:r>
      <w:r w:rsidRPr="00D24B45">
        <w:rPr>
          <w:rStyle w:val="Hyperlink"/>
          <w:rFonts w:ascii="Times New Roman" w:eastAsiaTheme="majorEastAsia" w:hAnsi="Times New Roman"/>
          <w:color w:val="0066CC"/>
          <w:shd w:val="clear" w:color="auto" w:fill="FFFFFF"/>
          <w:lang w:val="en-GB"/>
        </w:rPr>
        <w:t>Interchange Fee Regulation (EU) 2015/751</w:t>
      </w:r>
      <w:r>
        <w:fldChar w:fldCharType="end"/>
      </w:r>
      <w:r w:rsidRPr="00D24B45">
        <w:rPr>
          <w:rFonts w:ascii="Times New Roman" w:hAnsi="Times New Roman"/>
          <w:color w:val="545454"/>
          <w:shd w:val="clear" w:color="auto" w:fill="FFFFFF"/>
          <w:lang w:val="en-GB"/>
        </w:rPr>
        <w:t>).</w:t>
      </w:r>
    </w:p>
  </w:footnote>
  <w:footnote w:id="43">
    <w:p w14:paraId="06689330" w14:textId="7F8839E1" w:rsidR="000164EB" w:rsidRDefault="000164EB" w:rsidP="005518D4">
      <w:pPr>
        <w:pStyle w:val="FootnoteText"/>
        <w:jc w:val="both"/>
        <w:rPr>
          <w:rFonts w:ascii="Times New Roman" w:hAnsi="Times New Roman"/>
          <w:lang w:val="en-GB"/>
        </w:rPr>
      </w:pPr>
      <w:r w:rsidRPr="004E6013">
        <w:rPr>
          <w:rStyle w:val="FootnoteReference"/>
          <w:rFonts w:ascii="Times New Roman" w:hAnsi="Times New Roman"/>
        </w:rPr>
        <w:footnoteRef/>
      </w:r>
      <w:r w:rsidRPr="004E6013">
        <w:rPr>
          <w:rFonts w:ascii="Times New Roman" w:hAnsi="Times New Roman"/>
          <w:lang w:val="en-GB"/>
        </w:rPr>
        <w:t xml:space="preserve"> Includes SEPA Credit Transfers, swift messages MT103, swift messages MT202 (for trade finance), Documentary Credits and Bills for Collection. It also includes utilities payments executed with a credit transfer (but not utilities payments by cash as these are reported under ‘O</w:t>
      </w:r>
      <w:r>
        <w:rPr>
          <w:rFonts w:ascii="Times New Roman" w:hAnsi="Times New Roman"/>
          <w:lang w:val="en-GB"/>
        </w:rPr>
        <w:t>TC Cash Deposits/ Withdrawals’),</w:t>
      </w:r>
      <w:r w:rsidRPr="004E6013">
        <w:rPr>
          <w:rFonts w:ascii="Times New Roman" w:hAnsi="Times New Roman"/>
          <w:lang w:val="en-GB"/>
        </w:rPr>
        <w:t xml:space="preserve"> transfers performed through internet banking, payments of standing orders, internal standing orders</w:t>
      </w:r>
      <w:r w:rsidR="001B24FE">
        <w:rPr>
          <w:rFonts w:ascii="Times New Roman" w:hAnsi="Times New Roman"/>
          <w:lang w:val="en-GB"/>
        </w:rPr>
        <w:t xml:space="preserve">, </w:t>
      </w:r>
      <w:r w:rsidRPr="004E6013">
        <w:rPr>
          <w:rFonts w:ascii="Times New Roman" w:hAnsi="Times New Roman"/>
          <w:lang w:val="en-GB"/>
        </w:rPr>
        <w:t>payroll payments</w:t>
      </w:r>
      <w:r w:rsidR="001B24FE">
        <w:rPr>
          <w:rFonts w:ascii="Times New Roman" w:hAnsi="Times New Roman"/>
          <w:lang w:val="en-GB"/>
        </w:rPr>
        <w:t xml:space="preserve"> and transfers between own accounts</w:t>
      </w:r>
      <w:r w:rsidRPr="004E6013">
        <w:rPr>
          <w:rFonts w:ascii="Times New Roman" w:hAnsi="Times New Roman"/>
          <w:lang w:val="en-GB"/>
        </w:rPr>
        <w:t xml:space="preserve">. </w:t>
      </w:r>
      <w:r w:rsidRPr="00261CFC">
        <w:rPr>
          <w:rFonts w:ascii="Times New Roman" w:hAnsi="Times New Roman"/>
          <w:lang w:val="en-GB"/>
        </w:rPr>
        <w:t>This only includes credit transfers involving payment accounts</w:t>
      </w:r>
      <w:r>
        <w:rPr>
          <w:rFonts w:ascii="Times New Roman" w:hAnsi="Times New Roman"/>
          <w:lang w:val="en-GB"/>
        </w:rPr>
        <w:t>.</w:t>
      </w:r>
    </w:p>
    <w:p w14:paraId="31C0248C" w14:textId="0184A55D" w:rsidR="000164EB" w:rsidRDefault="000164EB" w:rsidP="005518D4">
      <w:pPr>
        <w:pStyle w:val="FootnoteText"/>
        <w:jc w:val="both"/>
        <w:rPr>
          <w:rFonts w:ascii="Times New Roman" w:hAnsi="Times New Roman"/>
          <w:lang w:val="en-GB"/>
        </w:rPr>
      </w:pPr>
      <w:r w:rsidRPr="00D24B45">
        <w:rPr>
          <w:rFonts w:ascii="Times New Roman" w:hAnsi="Times New Roman"/>
          <w:lang w:val="en-GB"/>
        </w:rPr>
        <w:t>It also includes credit transfers initiated (PISP) an</w:t>
      </w:r>
      <w:r>
        <w:rPr>
          <w:rFonts w:ascii="Times New Roman" w:hAnsi="Times New Roman"/>
          <w:lang w:val="en-GB"/>
        </w:rPr>
        <w:t>d executed (ASPSP) by the same Reporting A</w:t>
      </w:r>
      <w:r w:rsidRPr="00D24B45">
        <w:rPr>
          <w:rFonts w:ascii="Times New Roman" w:hAnsi="Times New Roman"/>
          <w:lang w:val="en-GB"/>
        </w:rPr>
        <w:t>gent.</w:t>
      </w:r>
    </w:p>
    <w:p w14:paraId="2F7ABFAB" w14:textId="51C40F82" w:rsidR="000164EB" w:rsidRDefault="000164EB" w:rsidP="005518D4">
      <w:pPr>
        <w:pStyle w:val="FootnoteText"/>
        <w:jc w:val="both"/>
        <w:rPr>
          <w:rFonts w:ascii="Times New Roman" w:hAnsi="Times New Roman"/>
          <w:lang w:val="en-GB"/>
        </w:rPr>
      </w:pPr>
      <w:r w:rsidRPr="00237303">
        <w:rPr>
          <w:rFonts w:ascii="Times New Roman" w:hAnsi="Times New Roman"/>
          <w:lang w:val="en-GB"/>
        </w:rPr>
        <w:t>Credit transfers between different types of accounts are included, e.g. transfers from a transferable deposit to an account holding a non-transferable deposit as well as transfers from non-transferable deposits to an account holding a transferable deposit. Where such transactions between different types of accounts are initiated without a specific transaction order and executed via simple book entry, i.e. without the use of a traditional payment instrument, those are instead included as simple book entries</w:t>
      </w:r>
      <w:r>
        <w:rPr>
          <w:rFonts w:ascii="Times New Roman" w:hAnsi="Times New Roman"/>
          <w:lang w:val="en-GB"/>
        </w:rPr>
        <w:t xml:space="preserve"> (</w:t>
      </w:r>
      <w:r w:rsidRPr="004E6013">
        <w:rPr>
          <w:rFonts w:ascii="Times New Roman" w:hAnsi="Times New Roman"/>
          <w:lang w:val="en-GB"/>
        </w:rPr>
        <w:t>Credits to the accounts by</w:t>
      </w:r>
      <w:r>
        <w:rPr>
          <w:rFonts w:ascii="Times New Roman" w:hAnsi="Times New Roman"/>
          <w:lang w:val="en-GB"/>
        </w:rPr>
        <w:t xml:space="preserve"> simple book entry are excluded)</w:t>
      </w:r>
      <w:r w:rsidRPr="00237303">
        <w:rPr>
          <w:rFonts w:ascii="Times New Roman" w:hAnsi="Times New Roman"/>
          <w:lang w:val="en-GB"/>
        </w:rPr>
        <w:t>.</w:t>
      </w:r>
    </w:p>
    <w:p w14:paraId="1A3F187A" w14:textId="6DEE8A86" w:rsidR="0087476A" w:rsidRPr="004E6013" w:rsidRDefault="0087476A" w:rsidP="005518D4">
      <w:pPr>
        <w:pStyle w:val="FootnoteText"/>
        <w:jc w:val="both"/>
        <w:rPr>
          <w:rFonts w:ascii="Times New Roman" w:hAnsi="Times New Roman"/>
          <w:lang w:val="en-GB"/>
        </w:rPr>
      </w:pPr>
      <w:r>
        <w:rPr>
          <w:rFonts w:ascii="Times New Roman" w:hAnsi="Times New Roman"/>
          <w:lang w:val="en-GB"/>
        </w:rPr>
        <w:t>A</w:t>
      </w:r>
      <w:r w:rsidRPr="0087476A">
        <w:rPr>
          <w:rFonts w:ascii="Times New Roman" w:hAnsi="Times New Roman"/>
          <w:lang w:val="en-GB"/>
        </w:rPr>
        <w:t>ny transaction that is considered an internal bookkeeping operation (i.e. an operation involving technical accounts within one and the same PSP) should not be reported.</w:t>
      </w:r>
    </w:p>
  </w:footnote>
  <w:footnote w:id="44">
    <w:p w14:paraId="1317D1CD" w14:textId="3AAD0CCC" w:rsidR="000164EB" w:rsidRPr="00DC1C22" w:rsidRDefault="000164EB" w:rsidP="005518D4">
      <w:pPr>
        <w:pStyle w:val="FootnoteText"/>
        <w:jc w:val="both"/>
        <w:rPr>
          <w:rFonts w:ascii="Times New Roman" w:hAnsi="Times New Roman"/>
          <w:lang w:val="en-GB"/>
        </w:rPr>
      </w:pPr>
      <w:r w:rsidRPr="00D24B45">
        <w:rPr>
          <w:rStyle w:val="FootnoteReference"/>
          <w:rFonts w:ascii="Times New Roman" w:hAnsi="Times New Roman"/>
        </w:rPr>
        <w:footnoteRef/>
      </w:r>
      <w:r w:rsidRPr="00D24B45">
        <w:rPr>
          <w:rFonts w:ascii="Times New Roman" w:hAnsi="Times New Roman"/>
          <w:lang w:val="en-GB"/>
        </w:rPr>
        <w:t xml:space="preserve"> A credit transfer initiated by the payer in paper-based form or by instructing staff at a branch over the counter (OTC) to initiate a credit transfer and any other credit transfer, which requires manual processing.</w:t>
      </w:r>
      <w:r>
        <w:rPr>
          <w:rFonts w:ascii="Times New Roman" w:hAnsi="Times New Roman"/>
          <w:lang w:val="en-GB"/>
        </w:rPr>
        <w:t xml:space="preserve"> This category also includes </w:t>
      </w:r>
      <w:r w:rsidRPr="00D566D5">
        <w:rPr>
          <w:rFonts w:ascii="Times New Roman" w:hAnsi="Times New Roman"/>
          <w:lang w:val="en-GB"/>
        </w:rPr>
        <w:t>such transaction in which "the bank receives an e-mail in which a signed payment order is attached as a PDF</w:t>
      </w:r>
      <w:r>
        <w:rPr>
          <w:rFonts w:ascii="Times New Roman" w:hAnsi="Times New Roman"/>
          <w:lang w:val="en-GB"/>
        </w:rPr>
        <w:t>”. P</w:t>
      </w:r>
      <w:r w:rsidRPr="00DC1C22">
        <w:rPr>
          <w:rFonts w:ascii="Times New Roman" w:hAnsi="Times New Roman"/>
          <w:lang w:val="en-GB"/>
        </w:rPr>
        <w:t xml:space="preserve">ayments within a standing order submitted in paper-based form </w:t>
      </w:r>
      <w:r>
        <w:rPr>
          <w:rFonts w:ascii="Times New Roman" w:hAnsi="Times New Roman"/>
          <w:lang w:val="en-GB"/>
        </w:rPr>
        <w:t>should</w:t>
      </w:r>
      <w:r w:rsidRPr="00DC1C22">
        <w:rPr>
          <w:rFonts w:ascii="Times New Roman" w:hAnsi="Times New Roman"/>
          <w:lang w:val="en-GB"/>
        </w:rPr>
        <w:t xml:space="preserve"> be reported under </w:t>
      </w:r>
      <w:r>
        <w:rPr>
          <w:rFonts w:ascii="Times New Roman" w:hAnsi="Times New Roman"/>
          <w:lang w:val="en-GB"/>
        </w:rPr>
        <w:t>this item (irrespective of whether these transactions are then executed electronically).</w:t>
      </w:r>
    </w:p>
  </w:footnote>
  <w:footnote w:id="45">
    <w:p w14:paraId="13D84E50" w14:textId="77777777" w:rsidR="000164EB" w:rsidRDefault="000164EB" w:rsidP="005518D4">
      <w:pPr>
        <w:pStyle w:val="FootnoteText"/>
        <w:jc w:val="both"/>
        <w:rPr>
          <w:rFonts w:ascii="Times New Roman" w:hAnsi="Times New Roman"/>
          <w:lang w:val="en-GB"/>
        </w:rPr>
      </w:pPr>
      <w:r w:rsidRPr="00D24B45">
        <w:rPr>
          <w:rStyle w:val="FootnoteReference"/>
          <w:rFonts w:ascii="Times New Roman" w:hAnsi="Times New Roman"/>
        </w:rPr>
        <w:footnoteRef/>
      </w:r>
      <w:r w:rsidRPr="00D24B45">
        <w:rPr>
          <w:rFonts w:ascii="Times New Roman" w:hAnsi="Times New Roman"/>
          <w:lang w:val="en-GB"/>
        </w:rPr>
        <w:t xml:space="preserve"> Any credit transfer which the payer submits in non-paper-based form, i.e. electronically.</w:t>
      </w:r>
    </w:p>
    <w:p w14:paraId="6C410650" w14:textId="77777777" w:rsidR="000164EB" w:rsidRPr="00D24B45" w:rsidRDefault="000164EB" w:rsidP="005518D4">
      <w:pPr>
        <w:pStyle w:val="FootnoteText"/>
        <w:jc w:val="both"/>
        <w:rPr>
          <w:rFonts w:ascii="Times New Roman" w:hAnsi="Times New Roman"/>
          <w:lang w:val="en-GB"/>
        </w:rPr>
      </w:pPr>
      <w:r w:rsidRPr="0067610E">
        <w:rPr>
          <w:rFonts w:ascii="Times New Roman" w:hAnsi="Times New Roman"/>
          <w:lang w:val="en-GB"/>
        </w:rPr>
        <w:t>Credit transfers initiated through a CD/diskette should be included in the sub-category “initiated electronically”.</w:t>
      </w:r>
    </w:p>
  </w:footnote>
  <w:footnote w:id="46">
    <w:p w14:paraId="159C0E32" w14:textId="77777777" w:rsidR="000164EB" w:rsidRPr="00443316" w:rsidRDefault="000164EB" w:rsidP="005518D4">
      <w:pPr>
        <w:pStyle w:val="FootnoteText"/>
        <w:jc w:val="both"/>
        <w:rPr>
          <w:rFonts w:ascii="Times New Roman" w:hAnsi="Times New Roman"/>
          <w:lang w:val="en-GB"/>
        </w:rPr>
      </w:pPr>
      <w:r w:rsidRPr="00D24B45">
        <w:rPr>
          <w:rStyle w:val="FootnoteReference"/>
          <w:rFonts w:ascii="Times New Roman" w:hAnsi="Times New Roman"/>
        </w:rPr>
        <w:footnoteRef/>
      </w:r>
      <w:r w:rsidRPr="00D24B45">
        <w:rPr>
          <w:rFonts w:ascii="Times New Roman" w:hAnsi="Times New Roman"/>
          <w:lang w:val="en-GB"/>
        </w:rPr>
        <w:t xml:space="preserve"> Credit transfers initiated non-electronically but not in paper-based form, e.g., mail or telephone order (MOTO) transactions.</w:t>
      </w:r>
    </w:p>
  </w:footnote>
  <w:footnote w:id="47">
    <w:p w14:paraId="337CF2D1" w14:textId="2E1C4EE8" w:rsidR="000164EB" w:rsidRPr="00686DF5" w:rsidRDefault="000164EB" w:rsidP="006667AB">
      <w:pPr>
        <w:jc w:val="both"/>
        <w:rPr>
          <w:rFonts w:ascii="Times New Roman" w:hAnsi="Times New Roman"/>
          <w:sz w:val="20"/>
          <w:lang w:val="en-GB"/>
        </w:rPr>
      </w:pPr>
      <w:r w:rsidRPr="00686DF5">
        <w:rPr>
          <w:rStyle w:val="FootnoteReference"/>
          <w:rFonts w:ascii="Times New Roman" w:hAnsi="Times New Roman"/>
          <w:sz w:val="20"/>
        </w:rPr>
        <w:footnoteRef/>
      </w:r>
      <w:r w:rsidRPr="00686DF5">
        <w:rPr>
          <w:rFonts w:ascii="Times New Roman" w:hAnsi="Times New Roman"/>
          <w:sz w:val="20"/>
          <w:lang w:val="en-GB"/>
        </w:rPr>
        <w:t xml:space="preserve"> Credit transfers initiated and executed by the same reporting agent are to be reported in some of the rest reporting items under the series “Credit transfers [sent]”.</w:t>
      </w:r>
    </w:p>
  </w:footnote>
  <w:footnote w:id="48">
    <w:p w14:paraId="1ED953A1" w14:textId="6C178771" w:rsidR="000164EB" w:rsidRPr="003D1F49" w:rsidRDefault="000164EB" w:rsidP="00806040">
      <w:pPr>
        <w:pStyle w:val="FootnoteText"/>
        <w:jc w:val="both"/>
        <w:rPr>
          <w:rFonts w:ascii="Times New Roman" w:hAnsi="Times New Roman"/>
          <w:lang w:val="en-GB"/>
        </w:rPr>
      </w:pPr>
      <w:r w:rsidRPr="003D1F49">
        <w:rPr>
          <w:rStyle w:val="FootnoteReference"/>
          <w:rFonts w:ascii="Times New Roman" w:hAnsi="Times New Roman"/>
        </w:rPr>
        <w:footnoteRef/>
      </w:r>
      <w:r w:rsidRPr="003D1F49">
        <w:rPr>
          <w:rFonts w:ascii="Times New Roman" w:hAnsi="Times New Roman"/>
          <w:lang w:val="en-GB"/>
        </w:rPr>
        <w:t xml:space="preserve"> Includes transactions where the online banking platform is accessed via web browsers or the mobile online banking app of a PSP. Credit transfers initiated by PISPs via the ASPSP’s online banking platform are also included here and are additionally reported in a dedicated breakdown called ‘credit transfers initiated by PISPs’. </w:t>
      </w:r>
      <w:r>
        <w:rPr>
          <w:rFonts w:ascii="Times New Roman" w:hAnsi="Times New Roman"/>
          <w:lang w:val="en-GB"/>
        </w:rPr>
        <w:t xml:space="preserve">The payroll of the PSP workers and the </w:t>
      </w:r>
      <w:r w:rsidRPr="00672612">
        <w:rPr>
          <w:rFonts w:ascii="Times New Roman" w:hAnsi="Times New Roman"/>
          <w:lang w:val="en-GB"/>
        </w:rPr>
        <w:t>payments to their suppliers</w:t>
      </w:r>
      <w:r>
        <w:rPr>
          <w:rFonts w:ascii="Times New Roman" w:hAnsi="Times New Roman"/>
          <w:lang w:val="en-GB"/>
        </w:rPr>
        <w:t xml:space="preserve"> are also included here.</w:t>
      </w:r>
    </w:p>
  </w:footnote>
  <w:footnote w:id="49">
    <w:p w14:paraId="126A1B90" w14:textId="77777777" w:rsidR="000164EB" w:rsidRDefault="000164EB" w:rsidP="00806040">
      <w:pPr>
        <w:jc w:val="both"/>
        <w:rPr>
          <w:rFonts w:ascii="Times New Roman" w:hAnsi="Times New Roman"/>
          <w:sz w:val="20"/>
          <w:lang w:val="en-GB"/>
        </w:rPr>
      </w:pPr>
      <w:r w:rsidRPr="003D1F49">
        <w:rPr>
          <w:rStyle w:val="FootnoteReference"/>
          <w:rFonts w:ascii="Times New Roman" w:hAnsi="Times New Roman"/>
          <w:sz w:val="20"/>
        </w:rPr>
        <w:footnoteRef/>
      </w:r>
      <w:r w:rsidRPr="003D1F49">
        <w:rPr>
          <w:rFonts w:ascii="Times New Roman" w:hAnsi="Times New Roman"/>
          <w:sz w:val="20"/>
          <w:lang w:val="en-GB"/>
        </w:rPr>
        <w:t xml:space="preserve"> This term includes transactions at physical terminals only. </w:t>
      </w:r>
    </w:p>
    <w:p w14:paraId="67436FE7" w14:textId="3D015948" w:rsidR="000164EB" w:rsidRPr="00322FE6" w:rsidRDefault="000164EB" w:rsidP="00806040">
      <w:pPr>
        <w:jc w:val="both"/>
        <w:rPr>
          <w:rFonts w:cs="Arial"/>
          <w:sz w:val="18"/>
          <w:szCs w:val="18"/>
          <w:lang w:val="en-GB"/>
        </w:rPr>
      </w:pPr>
      <w:r w:rsidRPr="00980175">
        <w:rPr>
          <w:rFonts w:ascii="Times New Roman" w:hAnsi="Times New Roman"/>
          <w:sz w:val="20"/>
          <w:lang w:val="en-GB"/>
        </w:rPr>
        <w:t>When a credit transfer is initiated at a terminal, the card is used only to verify the identity of the account holder, who is then given access to the account from which the credit transfer can be initiated.</w:t>
      </w:r>
      <w:r>
        <w:rPr>
          <w:rFonts w:ascii="Times New Roman" w:hAnsi="Times New Roman"/>
          <w:sz w:val="20"/>
          <w:lang w:val="en-GB"/>
        </w:rPr>
        <w:t xml:space="preserve"> </w:t>
      </w:r>
      <w:r w:rsidRPr="00191EFF">
        <w:rPr>
          <w:rFonts w:ascii="Times New Roman" w:hAnsi="Times New Roman"/>
          <w:sz w:val="20"/>
          <w:lang w:val="en-GB"/>
        </w:rPr>
        <w:t>Even though a credit transfer initiated at an ATM or other PSP terminal can be initiated using a mobile payment solution, such a transaction is reported as a credit transfer initiated at an ATM or other PSP terminal and not as a credit transfer initiated using a mobile payment solution.</w:t>
      </w:r>
      <w:r>
        <w:rPr>
          <w:rFonts w:ascii="Times New Roman" w:hAnsi="Times New Roman"/>
          <w:sz w:val="20"/>
          <w:lang w:val="en-GB"/>
        </w:rPr>
        <w:t xml:space="preserve">  </w:t>
      </w:r>
    </w:p>
  </w:footnote>
  <w:footnote w:id="50">
    <w:p w14:paraId="069162A2" w14:textId="0C56A2FD" w:rsidR="000164EB" w:rsidRPr="003D1F49" w:rsidRDefault="000164EB" w:rsidP="00806040">
      <w:pPr>
        <w:jc w:val="both"/>
        <w:rPr>
          <w:rFonts w:ascii="Times New Roman" w:hAnsi="Times New Roman"/>
          <w:sz w:val="20"/>
          <w:lang w:val="en-GB"/>
        </w:rPr>
      </w:pPr>
      <w:r w:rsidRPr="003D1F49">
        <w:rPr>
          <w:rStyle w:val="FootnoteReference"/>
          <w:rFonts w:ascii="Times New Roman" w:hAnsi="Times New Roman"/>
          <w:sz w:val="20"/>
        </w:rPr>
        <w:footnoteRef/>
      </w:r>
      <w:r w:rsidRPr="003D1F49">
        <w:rPr>
          <w:rFonts w:ascii="Times New Roman" w:hAnsi="Times New Roman"/>
          <w:sz w:val="20"/>
          <w:lang w:val="en-GB"/>
        </w:rPr>
        <w:t xml:space="preserve"> A solution used to initiate payments for which the payments data and the payment instructions are transmitted and/or confirmed via mobile communication and data transmission technology through a mobile device</w:t>
      </w:r>
      <w:r>
        <w:rPr>
          <w:rFonts w:ascii="Times New Roman" w:hAnsi="Times New Roman"/>
          <w:sz w:val="20"/>
          <w:lang w:val="en-GB"/>
        </w:rPr>
        <w:t xml:space="preserve">, </w:t>
      </w:r>
      <w:r w:rsidRPr="00CB25D5">
        <w:rPr>
          <w:rFonts w:ascii="Times New Roman" w:hAnsi="Times New Roman"/>
          <w:sz w:val="20"/>
          <w:lang w:val="en-GB"/>
        </w:rPr>
        <w:t>such as, for example, a wallet</w:t>
      </w:r>
      <w:r w:rsidRPr="003D1F49">
        <w:rPr>
          <w:rFonts w:ascii="Times New Roman" w:hAnsi="Times New Roman"/>
          <w:sz w:val="20"/>
          <w:lang w:val="en-GB"/>
        </w:rPr>
        <w:t xml:space="preserve">. </w:t>
      </w:r>
      <w:r w:rsidRPr="00874F9A">
        <w:rPr>
          <w:rFonts w:ascii="Times New Roman" w:hAnsi="Times New Roman"/>
          <w:sz w:val="20"/>
          <w:lang w:val="en-GB"/>
        </w:rPr>
        <w:t xml:space="preserve">The “mobile payment solution” item includes remotely initiated transactions via digital wallets and via C2B and P2P mobile payment solutions, while only transactions via P2P mobile payment solutions are reported separately. </w:t>
      </w:r>
    </w:p>
  </w:footnote>
  <w:footnote w:id="51">
    <w:p w14:paraId="30764588" w14:textId="77777777" w:rsidR="000E25F0" w:rsidRDefault="000164EB" w:rsidP="00806040">
      <w:pPr>
        <w:pStyle w:val="FootnoteText"/>
        <w:jc w:val="both"/>
        <w:rPr>
          <w:rFonts w:ascii="Times New Roman" w:hAnsi="Times New Roman"/>
          <w:lang w:val="en-GB"/>
        </w:rPr>
      </w:pPr>
      <w:r w:rsidRPr="003D1F49">
        <w:rPr>
          <w:rStyle w:val="FootnoteReference"/>
          <w:rFonts w:ascii="Times New Roman" w:hAnsi="Times New Roman"/>
        </w:rPr>
        <w:footnoteRef/>
      </w:r>
      <w:r w:rsidRPr="003D1F49">
        <w:rPr>
          <w:rFonts w:ascii="Times New Roman" w:hAnsi="Times New Roman"/>
          <w:lang w:val="en-GB"/>
        </w:rPr>
        <w:t xml:space="preserve"> </w:t>
      </w:r>
      <w:r w:rsidR="000E25F0" w:rsidRPr="000E25F0">
        <w:rPr>
          <w:rFonts w:ascii="Times New Roman" w:hAnsi="Times New Roman"/>
          <w:lang w:val="en-GB"/>
        </w:rPr>
        <w:t>The sale or purchase of goods or services, whether between businesses, households, individuals or private organizations, through electronic transactions conducted via the internet or other computer-mediated (online communication) networks. The term covers the ordering of goods and services which are sent over computer networks, but the payment and the ultimate delivery of the goods or service may be conducted either on- or off-line.</w:t>
      </w:r>
      <w:r w:rsidR="000E25F0">
        <w:rPr>
          <w:rFonts w:ascii="Times New Roman" w:hAnsi="Times New Roman"/>
          <w:lang w:val="en-GB"/>
        </w:rPr>
        <w:t xml:space="preserve"> </w:t>
      </w:r>
    </w:p>
    <w:p w14:paraId="128188F1" w14:textId="701D55ED" w:rsidR="000164EB" w:rsidRPr="005A1C92" w:rsidRDefault="000164EB" w:rsidP="00806040">
      <w:pPr>
        <w:pStyle w:val="FootnoteText"/>
        <w:jc w:val="both"/>
        <w:rPr>
          <w:rFonts w:ascii="Times New Roman" w:hAnsi="Times New Roman"/>
          <w:lang w:val="en-GB"/>
        </w:rPr>
      </w:pPr>
      <w:r w:rsidRPr="003D1F49">
        <w:rPr>
          <w:rFonts w:ascii="Times New Roman" w:hAnsi="Times New Roman"/>
          <w:lang w:val="en-GB"/>
        </w:rPr>
        <w:t xml:space="preserve">PISP-initiated credit transfers related to e-commerce transactions are also included where they are both initiated using an online banking platform and connected to a purchase on a merchant’s website. Transactions where an ASPSP acts as a PISP to initiate a simple credit transfer for an account at another ASPSP are not included. If the Reporting Agent cannot differentiate between e-commerce and non-e-commerce payments, the reporting should stop at the level of the ‘online </w:t>
      </w:r>
      <w:r w:rsidRPr="005A1C92">
        <w:rPr>
          <w:rFonts w:ascii="Times New Roman" w:hAnsi="Times New Roman"/>
          <w:lang w:val="en-GB"/>
        </w:rPr>
        <w:t>banking-based credit transfers’ item.</w:t>
      </w:r>
    </w:p>
  </w:footnote>
  <w:footnote w:id="52">
    <w:p w14:paraId="5CF12772" w14:textId="1EC778BB" w:rsidR="000164EB" w:rsidRPr="00F373AD" w:rsidRDefault="000164EB" w:rsidP="00512A2F">
      <w:pPr>
        <w:pStyle w:val="FootnoteText"/>
        <w:jc w:val="both"/>
        <w:rPr>
          <w:rFonts w:ascii="Times New Roman" w:hAnsi="Times New Roman"/>
          <w:lang w:val="en-GB"/>
        </w:rPr>
      </w:pPr>
      <w:r w:rsidRPr="005A1C92">
        <w:rPr>
          <w:rStyle w:val="FootnoteReference"/>
          <w:rFonts w:ascii="Times New Roman" w:hAnsi="Times New Roman"/>
        </w:rPr>
        <w:footnoteRef/>
      </w:r>
      <w:r w:rsidRPr="005A1C92">
        <w:rPr>
          <w:rFonts w:ascii="Times New Roman" w:hAnsi="Times New Roman"/>
          <w:lang w:val="en-GB"/>
        </w:rPr>
        <w:t xml:space="preserve"> </w:t>
      </w:r>
      <w:r w:rsidRPr="00512A2F">
        <w:rPr>
          <w:rFonts w:ascii="Times New Roman" w:hAnsi="Times New Roman"/>
          <w:lang w:val="en-GB"/>
        </w:rPr>
        <w:t>A solution where payments are initiated, confirmed and/or received by an individual to another individual (P2P), via a mobile device. The payment instruction and other payment data are transmitted and/or confirmed with a mobile device. A distinctive mobile payment identifier, such as mobile telephone number or e-mail address, can be used as a proxy to identify the payer and/or payee. P2P mobile payment solutions can be used to initiate credit transfers, card payments and/or e-money transactions.</w:t>
      </w:r>
      <w:r>
        <w:rPr>
          <w:rFonts w:ascii="Times New Roman" w:hAnsi="Times New Roman"/>
          <w:lang w:val="en-GB"/>
        </w:rPr>
        <w:t xml:space="preserve"> </w:t>
      </w:r>
      <w:r w:rsidRPr="00C76262">
        <w:rPr>
          <w:rFonts w:ascii="Times New Roman" w:hAnsi="Times New Roman"/>
          <w:lang w:val="en-GB"/>
        </w:rPr>
        <w:t>For cross-border card-based P2P mobile transactions, the location of the acquirer is to be reported also for location of the point of sale, since there is no point of sale involved</w:t>
      </w:r>
      <w:r>
        <w:rPr>
          <w:rFonts w:ascii="Times New Roman" w:hAnsi="Times New Roman"/>
          <w:lang w:val="en-GB"/>
        </w:rPr>
        <w:t>.</w:t>
      </w:r>
    </w:p>
  </w:footnote>
  <w:footnote w:id="53">
    <w:p w14:paraId="2A83226C" w14:textId="77777777" w:rsidR="000164EB" w:rsidRPr="00A2638C" w:rsidRDefault="000164EB" w:rsidP="004014C4">
      <w:pPr>
        <w:jc w:val="both"/>
        <w:rPr>
          <w:lang w:val="en-GB"/>
        </w:rPr>
      </w:pPr>
      <w:r w:rsidRPr="00CC7C94">
        <w:rPr>
          <w:rStyle w:val="FootnoteReference"/>
          <w:rFonts w:ascii="Times New Roman" w:hAnsi="Times New Roman"/>
          <w:sz w:val="20"/>
        </w:rPr>
        <w:footnoteRef/>
      </w:r>
      <w:r w:rsidRPr="00CC7C94">
        <w:rPr>
          <w:rFonts w:ascii="Times New Roman" w:hAnsi="Times New Roman"/>
          <w:sz w:val="20"/>
          <w:lang w:val="en-GB"/>
        </w:rPr>
        <w:t xml:space="preserve"> Payment transactions in currencies other than euro not using the SEPA standards are included in the reporting of non-SEPA scheme transactions.</w:t>
      </w:r>
    </w:p>
  </w:footnote>
  <w:footnote w:id="54">
    <w:p w14:paraId="164DA403" w14:textId="77777777" w:rsidR="000164EB" w:rsidRPr="00D50E5F" w:rsidRDefault="000164EB" w:rsidP="006F63D1">
      <w:pPr>
        <w:pStyle w:val="FootnoteText"/>
        <w:rPr>
          <w:lang w:val="en-GB"/>
        </w:rPr>
      </w:pPr>
      <w:r w:rsidRPr="00463D5F">
        <w:rPr>
          <w:rStyle w:val="FootnoteReference"/>
          <w:rFonts w:ascii="Times New Roman" w:hAnsi="Times New Roman"/>
        </w:rPr>
        <w:footnoteRef/>
      </w:r>
      <w:r w:rsidRPr="00463D5F">
        <w:rPr>
          <w:rFonts w:ascii="Times New Roman" w:hAnsi="Times New Roman"/>
          <w:lang w:val="en-GB"/>
        </w:rPr>
        <w:t xml:space="preserve"> In case</w:t>
      </w:r>
      <w:r w:rsidRPr="00D50E5F">
        <w:rPr>
          <w:rFonts w:ascii="Times New Roman" w:hAnsi="Times New Roman"/>
          <w:lang w:val="en-GB"/>
        </w:rPr>
        <w:t xml:space="preserve"> there </w:t>
      </w:r>
      <w:r>
        <w:rPr>
          <w:rFonts w:ascii="Times New Roman" w:hAnsi="Times New Roman"/>
          <w:lang w:val="en-GB"/>
        </w:rPr>
        <w:t>are</w:t>
      </w:r>
      <w:r w:rsidRPr="00D50E5F">
        <w:rPr>
          <w:rFonts w:ascii="Times New Roman" w:hAnsi="Times New Roman"/>
          <w:lang w:val="en-GB"/>
        </w:rPr>
        <w:t xml:space="preserve"> no national credit transfer scheme</w:t>
      </w:r>
      <w:r>
        <w:rPr>
          <w:rFonts w:ascii="Times New Roman" w:hAnsi="Times New Roman"/>
          <w:lang w:val="en-GB"/>
        </w:rPr>
        <w:t>s</w:t>
      </w:r>
      <w:r w:rsidRPr="00D50E5F">
        <w:rPr>
          <w:rFonts w:ascii="Times New Roman" w:hAnsi="Times New Roman"/>
          <w:lang w:val="en-GB"/>
        </w:rPr>
        <w:t>, then these items should be left blank.</w:t>
      </w:r>
    </w:p>
  </w:footnote>
  <w:footnote w:id="55">
    <w:p w14:paraId="03CC5331" w14:textId="77777777" w:rsidR="000164EB" w:rsidRPr="00CC7C94" w:rsidRDefault="000164EB" w:rsidP="00E65227">
      <w:pPr>
        <w:spacing w:line="240" w:lineRule="exact"/>
        <w:jc w:val="both"/>
        <w:rPr>
          <w:rFonts w:ascii="Times New Roman" w:hAnsi="Times New Roman"/>
          <w:sz w:val="20"/>
          <w:lang w:val="en-GB"/>
        </w:rPr>
      </w:pPr>
      <w:r w:rsidRPr="00CC7C94">
        <w:rPr>
          <w:rStyle w:val="FootnoteReference"/>
          <w:rFonts w:ascii="Times New Roman" w:hAnsi="Times New Roman"/>
          <w:sz w:val="20"/>
        </w:rPr>
        <w:footnoteRef/>
      </w:r>
      <w:r w:rsidRPr="00CC7C94">
        <w:rPr>
          <w:rFonts w:ascii="Times New Roman" w:hAnsi="Times New Roman"/>
          <w:sz w:val="20"/>
          <w:lang w:val="en-GB"/>
        </w:rPr>
        <w:t xml:space="preserve"> The exception in Article 11-18 of the Commission Delegated Regulation (EU) 2018/389 applies. In cases where more than one exemption might be applicable</w:t>
      </w:r>
      <w:r w:rsidRPr="004014C4">
        <w:rPr>
          <w:rFonts w:ascii="Times New Roman" w:hAnsi="Times New Roman"/>
          <w:sz w:val="20"/>
          <w:lang w:val="en-GB"/>
        </w:rPr>
        <w:t>,</w:t>
      </w:r>
      <w:r w:rsidRPr="00CC7C94">
        <w:rPr>
          <w:rFonts w:ascii="Times New Roman" w:hAnsi="Times New Roman"/>
          <w:sz w:val="20"/>
          <w:lang w:val="en-GB"/>
        </w:rPr>
        <w:t xml:space="preserve"> the exemption that was applied is the one that should be reported.</w:t>
      </w:r>
    </w:p>
  </w:footnote>
  <w:footnote w:id="56">
    <w:p w14:paraId="50A03CFE" w14:textId="77777777" w:rsidR="000164EB" w:rsidRPr="0063141D" w:rsidRDefault="000164EB" w:rsidP="0063141D">
      <w:pPr>
        <w:pStyle w:val="FootnoteText"/>
        <w:jc w:val="both"/>
        <w:rPr>
          <w:rFonts w:ascii="Times New Roman" w:hAnsi="Times New Roman"/>
          <w:lang w:val="en-GB"/>
        </w:rPr>
      </w:pPr>
      <w:r w:rsidRPr="00CC7C94">
        <w:rPr>
          <w:rStyle w:val="FootnoteReference"/>
          <w:rFonts w:ascii="Times New Roman" w:hAnsi="Times New Roman"/>
        </w:rPr>
        <w:footnoteRef/>
      </w:r>
      <w:r w:rsidRPr="00CC7C94">
        <w:rPr>
          <w:rFonts w:ascii="Times New Roman" w:hAnsi="Times New Roman"/>
          <w:lang w:val="en-GB"/>
        </w:rPr>
        <w:t xml:space="preserve"> </w:t>
      </w:r>
      <w:r>
        <w:rPr>
          <w:rFonts w:ascii="Times New Roman" w:hAnsi="Times New Roman"/>
          <w:lang w:val="en-GB"/>
        </w:rPr>
        <w:t xml:space="preserve">Includes </w:t>
      </w:r>
      <w:r w:rsidRPr="00B81B73">
        <w:rPr>
          <w:rFonts w:ascii="Times New Roman" w:hAnsi="Times New Roman"/>
          <w:lang w:val="en-GB"/>
        </w:rPr>
        <w:t>both recurring and one-off direct debits, direct debits used to settle outstanding balances resulting from payment transactions using a credit card or delayed debit card, all direct debits executed through a payment system and payments to a card account where the minimum amount is paid.</w:t>
      </w:r>
      <w:r>
        <w:rPr>
          <w:rFonts w:ascii="Times New Roman" w:hAnsi="Times New Roman"/>
          <w:lang w:val="en-GB"/>
        </w:rPr>
        <w:t xml:space="preserve"> </w:t>
      </w:r>
      <w:r w:rsidRPr="00B81B73">
        <w:rPr>
          <w:rFonts w:ascii="Times New Roman" w:hAnsi="Times New Roman"/>
          <w:lang w:val="en-GB"/>
        </w:rPr>
        <w:t xml:space="preserve">Refer to </w:t>
      </w:r>
      <w:r w:rsidRPr="00CC7C94">
        <w:rPr>
          <w:rFonts w:ascii="Times New Roman" w:hAnsi="Times New Roman"/>
          <w:lang w:val="en-GB"/>
        </w:rPr>
        <w:t>Article 4(23), Directive (EU)2015/2366.</w:t>
      </w:r>
    </w:p>
  </w:footnote>
  <w:footnote w:id="57">
    <w:p w14:paraId="2E50ACF9" w14:textId="77777777" w:rsidR="000164EB" w:rsidRPr="000A5779" w:rsidRDefault="000164EB" w:rsidP="007A730E">
      <w:pPr>
        <w:pStyle w:val="FootnoteText"/>
        <w:jc w:val="both"/>
        <w:rPr>
          <w:rFonts w:ascii="Times New Roman" w:hAnsi="Times New Roman"/>
          <w:lang w:val="en-GB"/>
        </w:rPr>
      </w:pPr>
      <w:r w:rsidRPr="000A5779">
        <w:rPr>
          <w:rStyle w:val="FootnoteReference"/>
          <w:rFonts w:ascii="Times New Roman" w:hAnsi="Times New Roman"/>
        </w:rPr>
        <w:footnoteRef/>
      </w:r>
      <w:r w:rsidRPr="000A5779">
        <w:rPr>
          <w:rFonts w:ascii="Times New Roman" w:hAnsi="Times New Roman"/>
          <w:lang w:val="en-GB"/>
        </w:rPr>
        <w:t xml:space="preserve"> An electronically initiated direct debit that is part of a group of direct debits jointly initiated by the payee. Each direct debit contained in a batch is counted separately when reporting the number of transactions.</w:t>
      </w:r>
    </w:p>
  </w:footnote>
  <w:footnote w:id="58">
    <w:p w14:paraId="680897FC" w14:textId="77777777" w:rsidR="000164EB" w:rsidRPr="000A5779" w:rsidRDefault="000164EB" w:rsidP="007A730E">
      <w:pPr>
        <w:pStyle w:val="FootnoteText"/>
        <w:jc w:val="both"/>
        <w:rPr>
          <w:rFonts w:ascii="Times New Roman" w:hAnsi="Times New Roman"/>
          <w:lang w:val="en-GB"/>
        </w:rPr>
      </w:pPr>
      <w:r w:rsidRPr="000A5779">
        <w:rPr>
          <w:rStyle w:val="FootnoteReference"/>
          <w:rFonts w:ascii="Times New Roman" w:hAnsi="Times New Roman"/>
        </w:rPr>
        <w:footnoteRef/>
      </w:r>
      <w:r w:rsidRPr="000A5779">
        <w:rPr>
          <w:rFonts w:ascii="Times New Roman" w:hAnsi="Times New Roman"/>
          <w:lang w:val="en-GB"/>
        </w:rPr>
        <w:t xml:space="preserve"> An electronically initiated direct debit that is independent from other direct debits, i.e. that is not part of a group of direct debits jointly initiated.</w:t>
      </w:r>
    </w:p>
  </w:footnote>
  <w:footnote w:id="59">
    <w:p w14:paraId="2CBB7BFC" w14:textId="77777777" w:rsidR="000164EB" w:rsidRPr="000A5779" w:rsidRDefault="000164EB" w:rsidP="00EB2039">
      <w:pPr>
        <w:pStyle w:val="FootnoteText"/>
        <w:jc w:val="both"/>
        <w:rPr>
          <w:rFonts w:ascii="Times New Roman" w:hAnsi="Times New Roman"/>
          <w:lang w:val="en-GB"/>
        </w:rPr>
      </w:pPr>
      <w:r w:rsidRPr="000A5779">
        <w:rPr>
          <w:rStyle w:val="FootnoteReference"/>
          <w:rFonts w:ascii="Times New Roman" w:hAnsi="Times New Roman"/>
        </w:rPr>
        <w:footnoteRef/>
      </w:r>
      <w:r w:rsidRPr="000A5779">
        <w:rPr>
          <w:rFonts w:ascii="Times New Roman" w:hAnsi="Times New Roman"/>
          <w:lang w:val="en-GB"/>
        </w:rPr>
        <w:t xml:space="preserve"> </w:t>
      </w:r>
      <w:r>
        <w:rPr>
          <w:rFonts w:ascii="Times New Roman" w:hAnsi="Times New Roman"/>
          <w:lang w:val="en-GB"/>
        </w:rPr>
        <w:t>It is a</w:t>
      </w:r>
      <w:r w:rsidRPr="000A5779">
        <w:rPr>
          <w:rFonts w:ascii="Times New Roman" w:hAnsi="Times New Roman"/>
          <w:lang w:val="en-GB"/>
        </w:rPr>
        <w:t xml:space="preserve"> direct debit</w:t>
      </w:r>
      <w:r>
        <w:rPr>
          <w:rFonts w:ascii="Times New Roman" w:hAnsi="Times New Roman"/>
          <w:lang w:val="en-GB"/>
        </w:rPr>
        <w:t>,</w:t>
      </w:r>
      <w:r w:rsidRPr="000A5779">
        <w:rPr>
          <w:rFonts w:ascii="Times New Roman" w:hAnsi="Times New Roman"/>
          <w:lang w:val="en-GB"/>
        </w:rPr>
        <w:t xml:space="preserve"> which uses the e-mandate feature of the SEPA scheme (Article 2(21)</w:t>
      </w:r>
      <w:r>
        <w:rPr>
          <w:rFonts w:ascii="Times New Roman" w:hAnsi="Times New Roman"/>
          <w:lang w:val="en-GB"/>
        </w:rPr>
        <w:t xml:space="preserve"> of Regulation (EU) No 260/2012</w:t>
      </w:r>
      <w:r w:rsidRPr="000A5779">
        <w:rPr>
          <w:rFonts w:ascii="Times New Roman" w:hAnsi="Times New Roman"/>
          <w:lang w:val="en-GB"/>
        </w:rPr>
        <w:t>).</w:t>
      </w:r>
    </w:p>
  </w:footnote>
  <w:footnote w:id="60">
    <w:p w14:paraId="2F90396E" w14:textId="77777777" w:rsidR="000164EB" w:rsidRPr="000A5779" w:rsidRDefault="000164EB" w:rsidP="00EB2039">
      <w:pPr>
        <w:pStyle w:val="FootnoteText"/>
        <w:jc w:val="both"/>
        <w:rPr>
          <w:rFonts w:ascii="Times New Roman" w:hAnsi="Times New Roman"/>
          <w:lang w:val="en-GB"/>
        </w:rPr>
      </w:pPr>
      <w:r w:rsidRPr="000A5779">
        <w:rPr>
          <w:rStyle w:val="FootnoteReference"/>
          <w:rFonts w:ascii="Times New Roman" w:hAnsi="Times New Roman"/>
        </w:rPr>
        <w:footnoteRef/>
      </w:r>
      <w:r w:rsidRPr="000A5779">
        <w:rPr>
          <w:rFonts w:ascii="Times New Roman" w:hAnsi="Times New Roman"/>
          <w:lang w:val="en-GB"/>
        </w:rPr>
        <w:t xml:space="preserve"> </w:t>
      </w:r>
      <w:r>
        <w:rPr>
          <w:rFonts w:ascii="Times New Roman" w:hAnsi="Times New Roman"/>
          <w:lang w:val="en-GB"/>
        </w:rPr>
        <w:t>I</w:t>
      </w:r>
      <w:r w:rsidRPr="000A5779">
        <w:rPr>
          <w:rFonts w:ascii="Times New Roman" w:hAnsi="Times New Roman"/>
          <w:lang w:val="en-GB"/>
        </w:rPr>
        <w:t>ncludes direct debits to which the payer has given consent in non-electronic form. In the case of direct debits where the PSP is not involved in providing the mandate and where the PSP is also not able to obtain any information on the form of the consent, the direct debit is included in consent given in other forms.</w:t>
      </w:r>
    </w:p>
  </w:footnote>
  <w:footnote w:id="61">
    <w:p w14:paraId="00E89262" w14:textId="13D7098A" w:rsidR="000164EB" w:rsidRPr="00463D5F" w:rsidRDefault="000164EB">
      <w:pPr>
        <w:pStyle w:val="FootnoteText"/>
        <w:rPr>
          <w:rFonts w:ascii="Times New Roman" w:hAnsi="Times New Roman"/>
          <w:lang w:val="en-GB"/>
        </w:rPr>
      </w:pPr>
      <w:r w:rsidRPr="00463D5F">
        <w:rPr>
          <w:rStyle w:val="FootnoteReference"/>
          <w:rFonts w:ascii="Times New Roman" w:hAnsi="Times New Roman"/>
        </w:rPr>
        <w:footnoteRef/>
      </w:r>
      <w:r w:rsidRPr="00463D5F">
        <w:rPr>
          <w:rFonts w:ascii="Times New Roman" w:hAnsi="Times New Roman"/>
          <w:lang w:val="en-GB"/>
        </w:rPr>
        <w:t xml:space="preserve"> In case there are no national direct debit payment schemes, then these items should be left blank.</w:t>
      </w:r>
    </w:p>
  </w:footnote>
  <w:footnote w:id="62">
    <w:p w14:paraId="4AF8045B" w14:textId="77777777" w:rsidR="000164EB" w:rsidRPr="00D44B68" w:rsidRDefault="000164EB" w:rsidP="00D44B68">
      <w:pPr>
        <w:pStyle w:val="FootnoteText"/>
        <w:jc w:val="both"/>
        <w:rPr>
          <w:rFonts w:ascii="Times New Roman" w:hAnsi="Times New Roman"/>
          <w:lang w:val="en-GB"/>
        </w:rPr>
      </w:pPr>
      <w:r w:rsidRPr="00D44B68">
        <w:rPr>
          <w:rStyle w:val="FootnoteReference"/>
          <w:rFonts w:ascii="Times New Roman" w:hAnsi="Times New Roman"/>
        </w:rPr>
        <w:footnoteRef/>
      </w:r>
      <w:r w:rsidRPr="00D44B68">
        <w:rPr>
          <w:rFonts w:ascii="Times New Roman" w:hAnsi="Times New Roman"/>
          <w:lang w:val="en-GB"/>
        </w:rPr>
        <w:t xml:space="preserve"> E-money payment transactions are not included.  Cash withdrawals and deposits at ATMs are not included, as these are reported as ‘ATM cash withdrawals’ or ‘ATM cash deposits’. Credit transfers at ATMs are not included, as these are reported as ‘credit transfers’.  Cash advances at POS terminals are not included.</w:t>
      </w:r>
    </w:p>
  </w:footnote>
  <w:footnote w:id="63">
    <w:p w14:paraId="27CBF745" w14:textId="77777777" w:rsidR="000164EB" w:rsidRPr="005C174F" w:rsidRDefault="000164EB" w:rsidP="005C174F">
      <w:pPr>
        <w:pStyle w:val="FootnoteText"/>
        <w:jc w:val="both"/>
        <w:rPr>
          <w:rFonts w:ascii="Times New Roman" w:hAnsi="Times New Roman"/>
          <w:lang w:val="en-GB"/>
        </w:rPr>
      </w:pPr>
      <w:r w:rsidRPr="005C174F">
        <w:rPr>
          <w:rStyle w:val="FootnoteReference"/>
          <w:rFonts w:ascii="Times New Roman" w:hAnsi="Times New Roman"/>
        </w:rPr>
        <w:footnoteRef/>
      </w:r>
      <w:r w:rsidRPr="005C174F">
        <w:rPr>
          <w:rFonts w:ascii="Times New Roman" w:hAnsi="Times New Roman"/>
          <w:lang w:val="en-GB"/>
        </w:rPr>
        <w:t xml:space="preserve"> Card-based payment transactions which are initiated at an EFTPOS, ATM or other physical terminal that allows electronic payment initiation or remotely by electronic means of information transmission. Card-based payment transactions with card-based payment instruments issued by resident PSPs initiated in paper-based form (e.g. </w:t>
      </w:r>
      <w:r w:rsidRPr="005C174F">
        <w:rPr>
          <w:rFonts w:ascii="Times New Roman" w:hAnsi="Times New Roman"/>
          <w:lang w:val="en-GB"/>
        </w:rPr>
        <w:t>via card-based payment instrument imprinter or where the payment information is captured manually on paper vouchers) are not included.</w:t>
      </w:r>
    </w:p>
  </w:footnote>
  <w:footnote w:id="64">
    <w:p w14:paraId="56D9CE3C" w14:textId="77777777" w:rsidR="000164EB" w:rsidRPr="004A2529" w:rsidRDefault="000164EB" w:rsidP="00D44B68">
      <w:pPr>
        <w:pStyle w:val="FootnoteText"/>
        <w:jc w:val="both"/>
        <w:rPr>
          <w:rFonts w:ascii="Times New Roman" w:hAnsi="Times New Roman"/>
          <w:lang w:val="en-GB"/>
        </w:rPr>
      </w:pPr>
      <w:r w:rsidRPr="00D44B68">
        <w:rPr>
          <w:rStyle w:val="FootnoteReference"/>
          <w:rFonts w:ascii="Times New Roman" w:hAnsi="Times New Roman"/>
        </w:rPr>
        <w:footnoteRef/>
      </w:r>
      <w:r w:rsidRPr="00D44B68">
        <w:rPr>
          <w:rFonts w:ascii="Times New Roman" w:hAnsi="Times New Roman"/>
          <w:lang w:val="en-GB"/>
        </w:rPr>
        <w:t xml:space="preserve"> Card-based payment transactions initiated at a physical terminal through a </w:t>
      </w:r>
      <w:r>
        <w:rPr>
          <w:rFonts w:ascii="Times New Roman" w:hAnsi="Times New Roman"/>
          <w:lang w:val="en-GB"/>
        </w:rPr>
        <w:t xml:space="preserve">manual authorisation procedure </w:t>
      </w:r>
      <w:r w:rsidRPr="00D44B68">
        <w:rPr>
          <w:rFonts w:ascii="Times New Roman" w:hAnsi="Times New Roman"/>
          <w:lang w:val="en-GB"/>
        </w:rPr>
        <w:t>e.g. imprinters (card present transactions) or payments initiated via</w:t>
      </w:r>
      <w:r>
        <w:rPr>
          <w:rFonts w:ascii="Times New Roman" w:hAnsi="Times New Roman"/>
          <w:lang w:val="en-GB"/>
        </w:rPr>
        <w:t xml:space="preserve"> mail order or telephone order i.e. MOTO</w:t>
      </w:r>
      <w:r w:rsidRPr="00D44B68">
        <w:rPr>
          <w:rFonts w:ascii="Times New Roman" w:hAnsi="Times New Roman"/>
          <w:lang w:val="en-GB"/>
        </w:rPr>
        <w:t xml:space="preserve"> (card not present transa</w:t>
      </w:r>
      <w:r>
        <w:rPr>
          <w:rFonts w:ascii="Times New Roman" w:hAnsi="Times New Roman"/>
          <w:lang w:val="en-GB"/>
        </w:rPr>
        <w:t>ctions).</w:t>
      </w:r>
    </w:p>
  </w:footnote>
  <w:footnote w:id="65">
    <w:p w14:paraId="58E2B2A7" w14:textId="771F62FA" w:rsidR="000164EB" w:rsidRPr="006F3D9B" w:rsidRDefault="000164EB">
      <w:pPr>
        <w:pStyle w:val="FootnoteText"/>
        <w:rPr>
          <w:lang w:val="en-GB"/>
        </w:rPr>
      </w:pPr>
      <w:r w:rsidRPr="006F3D9B">
        <w:rPr>
          <w:rStyle w:val="FootnoteReference"/>
          <w:rFonts w:ascii="Times New Roman" w:hAnsi="Times New Roman"/>
        </w:rPr>
        <w:footnoteRef/>
      </w:r>
      <w:r w:rsidRPr="006F3D9B">
        <w:rPr>
          <w:lang w:val="en-GB"/>
        </w:rPr>
        <w:t xml:space="preserve"> </w:t>
      </w:r>
      <w:r w:rsidRPr="006F3D9B">
        <w:rPr>
          <w:rFonts w:ascii="Times New Roman" w:hAnsi="Times New Roman"/>
          <w:lang w:val="en-GB"/>
        </w:rPr>
        <w:t>As per Article 4(6) of Directive (EU) 2015/2366 ‘remote payment transaction’ means a payment transaction initiated via internet or through a device that can be used for distance communication</w:t>
      </w:r>
      <w:r>
        <w:rPr>
          <w:rFonts w:ascii="Times New Roman" w:hAnsi="Times New Roman"/>
          <w:lang w:val="en-GB"/>
        </w:rPr>
        <w:t>.</w:t>
      </w:r>
    </w:p>
  </w:footnote>
  <w:footnote w:id="66">
    <w:p w14:paraId="5F454153" w14:textId="4CFE4506" w:rsidR="000164EB" w:rsidRPr="00AE0172" w:rsidRDefault="000164EB" w:rsidP="00083E4D">
      <w:pPr>
        <w:pStyle w:val="FootnoteText"/>
        <w:jc w:val="both"/>
        <w:rPr>
          <w:rFonts w:ascii="Times New Roman" w:hAnsi="Times New Roman"/>
          <w:lang w:val="en-GB"/>
        </w:rPr>
      </w:pPr>
      <w:r w:rsidRPr="00083E4D">
        <w:rPr>
          <w:rStyle w:val="FootnoteReference"/>
          <w:rFonts w:ascii="Times New Roman" w:hAnsi="Times New Roman"/>
        </w:rPr>
        <w:footnoteRef/>
      </w:r>
      <w:r w:rsidRPr="00083E4D">
        <w:rPr>
          <w:rFonts w:ascii="Times New Roman" w:hAnsi="Times New Roman"/>
          <w:lang w:val="en-GB"/>
        </w:rPr>
        <w:t xml:space="preserve"> A solution used to initiate payments for which the payments data and the payment instructions are transmitted and/or confirmed via mobile communication and data transmission technology through a mobile device. This category includes digital wallets and other mobile payment solutions used to initiate P2P (person-to-person) and/or C2B (consumer-to-business) transactions, i.e. credit transfers, card payments and/or e-money transactions.</w:t>
      </w:r>
    </w:p>
  </w:footnote>
  <w:footnote w:id="67">
    <w:p w14:paraId="7EE806E8" w14:textId="77777777" w:rsidR="000164EB" w:rsidRDefault="000164EB" w:rsidP="00AE7F59">
      <w:pPr>
        <w:jc w:val="both"/>
        <w:rPr>
          <w:rFonts w:ascii="Times New Roman" w:hAnsi="Times New Roman"/>
          <w:sz w:val="20"/>
          <w:lang w:val="en-GB"/>
        </w:rPr>
      </w:pPr>
      <w:r w:rsidRPr="00BF60CB">
        <w:rPr>
          <w:rStyle w:val="FootnoteReference"/>
          <w:rFonts w:ascii="Times New Roman" w:hAnsi="Times New Roman"/>
        </w:rPr>
        <w:footnoteRef/>
      </w:r>
      <w:r w:rsidRPr="00BF60CB">
        <w:rPr>
          <w:rFonts w:ascii="Times New Roman" w:hAnsi="Times New Roman"/>
          <w:lang w:val="en-GB"/>
        </w:rPr>
        <w:t xml:space="preserve"> </w:t>
      </w:r>
      <w:r w:rsidRPr="00AE7F59">
        <w:rPr>
          <w:rFonts w:ascii="Times New Roman" w:hAnsi="Times New Roman"/>
          <w:sz w:val="20"/>
          <w:lang w:val="en-GB"/>
        </w:rPr>
        <w:t>Since there is no point of sale involved under cross-border P2P transactions, the location of the acquirer and the point of sale should coincide. Therefore, the location of the acquirer should also be completed under the point of sale.</w:t>
      </w:r>
      <w:r>
        <w:rPr>
          <w:rFonts w:ascii="Times New Roman" w:hAnsi="Times New Roman"/>
          <w:sz w:val="20"/>
          <w:lang w:val="en-GB"/>
        </w:rPr>
        <w:t xml:space="preserve"> </w:t>
      </w:r>
    </w:p>
    <w:p w14:paraId="265DF8DB" w14:textId="77777777" w:rsidR="000164EB" w:rsidRPr="00BF60CB" w:rsidRDefault="000164EB" w:rsidP="00AE7F59">
      <w:pPr>
        <w:spacing w:after="120"/>
        <w:jc w:val="both"/>
        <w:rPr>
          <w:rFonts w:ascii="Times New Roman" w:hAnsi="Times New Roman"/>
          <w:lang w:val="en-GB"/>
        </w:rPr>
      </w:pPr>
      <w:r w:rsidRPr="00874F9A">
        <w:rPr>
          <w:rFonts w:ascii="Times New Roman" w:hAnsi="Times New Roman"/>
          <w:sz w:val="20"/>
          <w:lang w:val="en-GB"/>
        </w:rPr>
        <w:t>The “</w:t>
      </w:r>
      <w:r w:rsidRPr="006B13EE">
        <w:rPr>
          <w:rFonts w:ascii="Times New Roman" w:hAnsi="Times New Roman"/>
          <w:sz w:val="20"/>
          <w:lang w:val="en-GB"/>
        </w:rPr>
        <w:t>P2P mobile payment solution</w:t>
      </w:r>
      <w:r w:rsidRPr="00874F9A">
        <w:rPr>
          <w:rFonts w:ascii="Times New Roman" w:hAnsi="Times New Roman"/>
          <w:sz w:val="20"/>
          <w:lang w:val="en-GB"/>
        </w:rPr>
        <w:t xml:space="preserve">” item </w:t>
      </w:r>
      <w:r w:rsidRPr="00AE7F59">
        <w:rPr>
          <w:rFonts w:ascii="Times New Roman" w:hAnsi="Times New Roman"/>
          <w:sz w:val="20"/>
          <w:lang w:val="en-GB"/>
        </w:rPr>
        <w:t>is</w:t>
      </w:r>
      <w:r w:rsidRPr="00874F9A">
        <w:rPr>
          <w:rFonts w:ascii="Times New Roman" w:hAnsi="Times New Roman"/>
          <w:sz w:val="20"/>
          <w:lang w:val="en-GB"/>
        </w:rPr>
        <w:t xml:space="preserve"> </w:t>
      </w:r>
      <w:r w:rsidRPr="00AE7F59">
        <w:rPr>
          <w:rFonts w:ascii="Times New Roman" w:hAnsi="Times New Roman"/>
          <w:sz w:val="20"/>
          <w:lang w:val="en-GB"/>
        </w:rPr>
        <w:t>a</w:t>
      </w:r>
      <w:r w:rsidRPr="00512A2F">
        <w:rPr>
          <w:rFonts w:ascii="Times New Roman" w:hAnsi="Times New Roman"/>
          <w:sz w:val="20"/>
          <w:lang w:val="en-GB"/>
        </w:rPr>
        <w:t xml:space="preserve"> solution where payments are initiated, confirmed and/or received by an individual to another individual (P2P), via a mobile device. The payment instruction and other payment data are transmitted and/or confirmed with a mobile device. A distinctive mobile payment identifier, such as mobile telephone number or e-mail address, can be used as a proxy to identify the payer and/or payee. P2P mobile payment solutions can be used to initiate credit transfers, card payments and/or e-money transactions.</w:t>
      </w:r>
    </w:p>
  </w:footnote>
  <w:footnote w:id="68">
    <w:p w14:paraId="7E20A5B9" w14:textId="77777777" w:rsidR="000164EB" w:rsidRPr="00B96A5A" w:rsidRDefault="000164EB" w:rsidP="00B96A5A">
      <w:pPr>
        <w:pStyle w:val="FootnoteText"/>
        <w:jc w:val="both"/>
        <w:rPr>
          <w:rFonts w:ascii="Times New Roman" w:hAnsi="Times New Roman"/>
          <w:lang w:val="en-GB"/>
        </w:rPr>
      </w:pPr>
      <w:r w:rsidRPr="00B96A5A">
        <w:rPr>
          <w:rStyle w:val="FootnoteReference"/>
          <w:rFonts w:ascii="Times New Roman" w:hAnsi="Times New Roman"/>
        </w:rPr>
        <w:footnoteRef/>
      </w:r>
      <w:r w:rsidRPr="00B96A5A">
        <w:rPr>
          <w:rFonts w:ascii="Times New Roman" w:hAnsi="Times New Roman"/>
          <w:lang w:val="en-GB"/>
        </w:rPr>
        <w:t xml:space="preserve"> This item typically includes card-based payment transactions through an electronic funds transfer at point of sale (EFTPOS) terminal at a merchant’s location. It does not include e-money payment transactions. </w:t>
      </w:r>
    </w:p>
  </w:footnote>
  <w:footnote w:id="69">
    <w:p w14:paraId="4582A4F1" w14:textId="77777777" w:rsidR="000164EB" w:rsidRPr="000C3CEF" w:rsidRDefault="000164EB">
      <w:pPr>
        <w:pStyle w:val="FootnoteText"/>
        <w:rPr>
          <w:rFonts w:ascii="Times New Roman" w:hAnsi="Times New Roman"/>
          <w:lang w:val="en-GB"/>
        </w:rPr>
      </w:pPr>
      <w:r w:rsidRPr="000C3CEF">
        <w:rPr>
          <w:rStyle w:val="FootnoteReference"/>
          <w:rFonts w:ascii="Times New Roman" w:hAnsi="Times New Roman"/>
        </w:rPr>
        <w:footnoteRef/>
      </w:r>
      <w:r w:rsidRPr="000C3CEF">
        <w:rPr>
          <w:rFonts w:ascii="Times New Roman" w:hAnsi="Times New Roman"/>
          <w:lang w:val="en-GB"/>
        </w:rPr>
        <w:t xml:space="preserve"> When a card-based payme</w:t>
      </w:r>
      <w:r>
        <w:rPr>
          <w:rFonts w:ascii="Times New Roman" w:hAnsi="Times New Roman"/>
          <w:lang w:val="en-GB"/>
        </w:rPr>
        <w:t>nt transaction is initiated at an ATM</w:t>
      </w:r>
      <w:r w:rsidRPr="000C3CEF">
        <w:rPr>
          <w:rFonts w:ascii="Times New Roman" w:hAnsi="Times New Roman"/>
          <w:lang w:val="en-GB"/>
        </w:rPr>
        <w:t>, a card payment file is created and processed via a PCS.</w:t>
      </w:r>
    </w:p>
  </w:footnote>
  <w:footnote w:id="70">
    <w:p w14:paraId="3FFE7968" w14:textId="77777777" w:rsidR="000164EB" w:rsidRPr="00B96A5A" w:rsidRDefault="000164EB" w:rsidP="00B96A5A">
      <w:pPr>
        <w:pStyle w:val="FootnoteText"/>
        <w:jc w:val="both"/>
        <w:rPr>
          <w:rFonts w:ascii="Times New Roman" w:hAnsi="Times New Roman"/>
          <w:lang w:val="en-GB"/>
        </w:rPr>
      </w:pPr>
      <w:r w:rsidRPr="00B96A5A">
        <w:rPr>
          <w:rStyle w:val="FootnoteReference"/>
          <w:rFonts w:ascii="Times New Roman" w:hAnsi="Times New Roman"/>
        </w:rPr>
        <w:footnoteRef/>
      </w:r>
      <w:r w:rsidRPr="00B96A5A">
        <w:rPr>
          <w:rFonts w:ascii="Times New Roman" w:hAnsi="Times New Roman"/>
          <w:lang w:val="en-GB"/>
        </w:rPr>
        <w:t xml:space="preserve"> Any </w:t>
      </w:r>
      <w:r>
        <w:rPr>
          <w:rFonts w:ascii="Times New Roman" w:hAnsi="Times New Roman"/>
          <w:lang w:val="en-GB"/>
        </w:rPr>
        <w:t xml:space="preserve">other </w:t>
      </w:r>
      <w:r w:rsidRPr="00B96A5A">
        <w:rPr>
          <w:rFonts w:ascii="Times New Roman" w:hAnsi="Times New Roman"/>
          <w:lang w:val="en-GB"/>
        </w:rPr>
        <w:t>physical terminal that allows electronic payment initiation.</w:t>
      </w:r>
    </w:p>
  </w:footnote>
  <w:footnote w:id="71">
    <w:p w14:paraId="20846C0A" w14:textId="77777777" w:rsidR="000164EB" w:rsidRPr="00B96A5A" w:rsidRDefault="000164EB" w:rsidP="00B96A5A">
      <w:pPr>
        <w:pStyle w:val="FootnoteText"/>
        <w:jc w:val="both"/>
        <w:rPr>
          <w:rFonts w:ascii="Times New Roman" w:hAnsi="Times New Roman"/>
          <w:lang w:val="en-GB"/>
        </w:rPr>
      </w:pPr>
      <w:r w:rsidRPr="00B96A5A">
        <w:rPr>
          <w:rStyle w:val="FootnoteReference"/>
          <w:rFonts w:ascii="Times New Roman" w:hAnsi="Times New Roman"/>
        </w:rPr>
        <w:footnoteRef/>
      </w:r>
      <w:r w:rsidRPr="00B96A5A">
        <w:rPr>
          <w:rFonts w:ascii="Times New Roman" w:hAnsi="Times New Roman"/>
          <w:lang w:val="en-GB"/>
        </w:rPr>
        <w:t xml:space="preserve"> A payment transaction using a card or other means where the payer and the merchant (and/or their equipment) are at the same physical location and where the communication between the portable device and the point of sale (POS) takes place through contactless technology (e.g. NFC, Bluetooth, Wi-Fi, QR)</w:t>
      </w:r>
      <w:r>
        <w:rPr>
          <w:rFonts w:ascii="Times New Roman" w:hAnsi="Times New Roman"/>
          <w:lang w:val="en-GB"/>
        </w:rPr>
        <w:t>.</w:t>
      </w:r>
    </w:p>
  </w:footnote>
  <w:footnote w:id="72">
    <w:p w14:paraId="13318CA2" w14:textId="77777777" w:rsidR="000164EB" w:rsidRPr="00B96A5A" w:rsidRDefault="000164EB" w:rsidP="00B96A5A">
      <w:pPr>
        <w:pStyle w:val="FootnoteText"/>
        <w:jc w:val="both"/>
        <w:rPr>
          <w:rFonts w:ascii="Times New Roman" w:hAnsi="Times New Roman"/>
          <w:lang w:val="en-GB"/>
        </w:rPr>
      </w:pPr>
      <w:r w:rsidRPr="00B96A5A">
        <w:rPr>
          <w:rStyle w:val="FootnoteReference"/>
          <w:rFonts w:ascii="Times New Roman" w:hAnsi="Times New Roman"/>
        </w:rPr>
        <w:footnoteRef/>
      </w:r>
      <w:r w:rsidRPr="00B96A5A">
        <w:rPr>
          <w:rFonts w:ascii="Times New Roman" w:hAnsi="Times New Roman"/>
          <w:lang w:val="en-GB"/>
        </w:rPr>
        <w:t xml:space="preserve"> Contactless payments with cards and/or portable devices using NFC technology (e.g. mobile payments initiated via mobile card-based wallets).</w:t>
      </w:r>
    </w:p>
  </w:footnote>
  <w:footnote w:id="73">
    <w:p w14:paraId="6EECE3E3" w14:textId="77777777" w:rsidR="000164EB" w:rsidRPr="00003373" w:rsidRDefault="000164EB" w:rsidP="00B96A5A">
      <w:pPr>
        <w:pStyle w:val="FootnoteText"/>
        <w:jc w:val="both"/>
        <w:rPr>
          <w:lang w:val="en-GB"/>
        </w:rPr>
      </w:pPr>
      <w:r w:rsidRPr="00B96A5A">
        <w:rPr>
          <w:rStyle w:val="FootnoteReference"/>
          <w:rFonts w:ascii="Times New Roman" w:hAnsi="Times New Roman"/>
        </w:rPr>
        <w:footnoteRef/>
      </w:r>
      <w:r w:rsidRPr="00B96A5A">
        <w:rPr>
          <w:rFonts w:ascii="Times New Roman" w:hAnsi="Times New Roman"/>
          <w:lang w:val="en-GB"/>
        </w:rPr>
        <w:t xml:space="preserve"> Annex II, Part C, footnote 4 of the EBA Guidelines amending the EBA Guidelines on reporting requirements for fraud data under Article 96(6) of Directive (EU) 2015/2366 (EBA/GL/2020/01)</w:t>
      </w:r>
      <w:r>
        <w:rPr>
          <w:rFonts w:ascii="Times New Roman" w:hAnsi="Times New Roman"/>
          <w:lang w:val="en-GB"/>
        </w:rPr>
        <w:t>.</w:t>
      </w:r>
    </w:p>
  </w:footnote>
  <w:footnote w:id="74">
    <w:p w14:paraId="74729FCF" w14:textId="77777777" w:rsidR="000164EB" w:rsidRPr="00CE5AD0" w:rsidRDefault="000164EB" w:rsidP="00547EEE">
      <w:pPr>
        <w:pStyle w:val="FootnoteText"/>
        <w:jc w:val="both"/>
        <w:rPr>
          <w:rFonts w:ascii="Times New Roman" w:hAnsi="Times New Roman"/>
          <w:lang w:val="en-GB"/>
        </w:rPr>
      </w:pPr>
      <w:r w:rsidRPr="00F84925">
        <w:rPr>
          <w:rStyle w:val="FootnoteReference"/>
          <w:rFonts w:ascii="Times New Roman" w:hAnsi="Times New Roman"/>
        </w:rPr>
        <w:footnoteRef/>
      </w:r>
      <w:r w:rsidRPr="00F84925">
        <w:rPr>
          <w:rFonts w:ascii="Times New Roman" w:hAnsi="Times New Roman"/>
          <w:lang w:val="en-GB"/>
        </w:rPr>
        <w:t xml:space="preserve"> Cash withdrawals using card-based payment instruments also include cash advances at POS terminals (‘cash-back’ transactions).</w:t>
      </w:r>
      <w:r>
        <w:rPr>
          <w:rFonts w:ascii="Times New Roman" w:hAnsi="Times New Roman"/>
          <w:lang w:val="en-GB"/>
        </w:rPr>
        <w:t xml:space="preserve"> </w:t>
      </w:r>
      <w:r w:rsidRPr="003835F5">
        <w:rPr>
          <w:rFonts w:ascii="Times New Roman" w:hAnsi="Times New Roman"/>
          <w:lang w:val="en-GB"/>
        </w:rPr>
        <w:t xml:space="preserve">E-money payment transactions are not included. </w:t>
      </w:r>
      <w:r>
        <w:rPr>
          <w:rFonts w:ascii="Times New Roman" w:hAnsi="Times New Roman"/>
          <w:lang w:val="en-GB"/>
        </w:rPr>
        <w:t xml:space="preserve">Also, </w:t>
      </w:r>
      <w:r w:rsidRPr="003835F5">
        <w:rPr>
          <w:rFonts w:ascii="Times New Roman" w:hAnsi="Times New Roman"/>
          <w:lang w:val="en-GB"/>
        </w:rPr>
        <w:t xml:space="preserve">OTC cash withdrawals are not included if the card is </w:t>
      </w:r>
      <w:r w:rsidRPr="00CE5AD0">
        <w:rPr>
          <w:rFonts w:ascii="Times New Roman" w:hAnsi="Times New Roman"/>
          <w:lang w:val="en-GB"/>
        </w:rPr>
        <w:t>merely used to identify the withdrawer.</w:t>
      </w:r>
    </w:p>
  </w:footnote>
  <w:footnote w:id="75">
    <w:p w14:paraId="7D5806A4" w14:textId="2DFA0A89" w:rsidR="000164EB" w:rsidRPr="007036C9" w:rsidRDefault="000164EB" w:rsidP="007036C9">
      <w:pPr>
        <w:jc w:val="both"/>
        <w:rPr>
          <w:lang w:val="en-GB"/>
        </w:rPr>
      </w:pPr>
      <w:r w:rsidRPr="00CE5AD0">
        <w:rPr>
          <w:rStyle w:val="FootnoteReference"/>
          <w:rFonts w:ascii="Times New Roman" w:hAnsi="Times New Roman"/>
        </w:rPr>
        <w:footnoteRef/>
      </w:r>
      <w:r w:rsidRPr="00CE5AD0">
        <w:rPr>
          <w:rFonts w:ascii="Times New Roman" w:hAnsi="Times New Roman"/>
          <w:lang w:val="en-GB"/>
        </w:rPr>
        <w:t xml:space="preserve"> </w:t>
      </w:r>
      <w:r w:rsidRPr="00CE5AD0">
        <w:rPr>
          <w:rFonts w:ascii="Times New Roman" w:hAnsi="Times New Roman"/>
          <w:sz w:val="20"/>
          <w:lang w:val="en-GB"/>
        </w:rPr>
        <w:t>Cash</w:t>
      </w:r>
      <w:r w:rsidRPr="007036C9">
        <w:rPr>
          <w:rFonts w:ascii="Times New Roman" w:hAnsi="Times New Roman"/>
          <w:sz w:val="20"/>
          <w:lang w:val="en-GB"/>
        </w:rPr>
        <w:t xml:space="preserve"> withdrawals or cash deposits with prepaid cards (excluding OTC transactions) should be included in the category “e-money payment transactions with cards with an e-money function” if the prepaid card is considered to be an e-money card (i.e. there is a claim on the e-money issuer). Otherwise, cash withdrawals and deposits carried out with prepaid cards are reported in the same way as those carried out with debit cards.</w:t>
      </w:r>
      <w:r>
        <w:rPr>
          <w:rFonts w:ascii="Times New Roman" w:hAnsi="Times New Roman"/>
          <w:sz w:val="20"/>
          <w:lang w:val="en-GB"/>
        </w:rPr>
        <w:t xml:space="preserve"> C</w:t>
      </w:r>
      <w:r w:rsidRPr="007036C9">
        <w:rPr>
          <w:rFonts w:ascii="Times New Roman" w:hAnsi="Times New Roman"/>
          <w:sz w:val="20"/>
          <w:lang w:val="en-GB"/>
        </w:rPr>
        <w:t xml:space="preserve">ash withdrawals and cash deposits with e-money cards (excluding OTC transactions) should </w:t>
      </w:r>
      <w:r>
        <w:rPr>
          <w:rFonts w:ascii="Times New Roman" w:hAnsi="Times New Roman"/>
          <w:sz w:val="20"/>
          <w:lang w:val="en-GB"/>
        </w:rPr>
        <w:t xml:space="preserve">also </w:t>
      </w:r>
      <w:r w:rsidRPr="007036C9">
        <w:rPr>
          <w:rFonts w:ascii="Times New Roman" w:hAnsi="Times New Roman"/>
          <w:sz w:val="20"/>
          <w:lang w:val="en-GB"/>
        </w:rPr>
        <w:t>be reported in the category "E-money card loading and unloading transactions"</w:t>
      </w:r>
      <w:r>
        <w:rPr>
          <w:rFonts w:ascii="Times New Roman" w:hAnsi="Times New Roman"/>
          <w:sz w:val="20"/>
          <w:lang w:val="en-GB"/>
        </w:rPr>
        <w:t xml:space="preserve"> in Table 6</w:t>
      </w:r>
      <w:r w:rsidRPr="007036C9">
        <w:rPr>
          <w:rFonts w:ascii="Times New Roman" w:hAnsi="Times New Roman"/>
          <w:sz w:val="20"/>
          <w:lang w:val="en-GB"/>
        </w:rPr>
        <w:t>.</w:t>
      </w:r>
    </w:p>
  </w:footnote>
  <w:footnote w:id="76">
    <w:p w14:paraId="6C69C4F4" w14:textId="77777777" w:rsidR="000164EB" w:rsidRPr="00F84925" w:rsidRDefault="000164EB" w:rsidP="00F45E67">
      <w:pPr>
        <w:jc w:val="both"/>
        <w:rPr>
          <w:rFonts w:ascii="Times New Roman" w:hAnsi="Times New Roman"/>
          <w:sz w:val="20"/>
          <w:lang w:val="en-GB"/>
        </w:rPr>
      </w:pPr>
      <w:r w:rsidRPr="00F84925">
        <w:rPr>
          <w:rStyle w:val="FootnoteReference"/>
          <w:rFonts w:ascii="Times New Roman" w:hAnsi="Times New Roman"/>
          <w:sz w:val="20"/>
        </w:rPr>
        <w:footnoteRef/>
      </w:r>
      <w:r w:rsidRPr="00F84925">
        <w:rPr>
          <w:rFonts w:ascii="Times New Roman" w:hAnsi="Times New Roman"/>
          <w:sz w:val="20"/>
          <w:lang w:val="en-GB"/>
        </w:rPr>
        <w:t xml:space="preserve"> E-money held on a card in the e-money holder’s possession. </w:t>
      </w:r>
    </w:p>
  </w:footnote>
  <w:footnote w:id="77">
    <w:p w14:paraId="30B5AF1D" w14:textId="77777777" w:rsidR="000164EB" w:rsidRPr="0063141D" w:rsidRDefault="000164EB" w:rsidP="00F45E67">
      <w:pPr>
        <w:jc w:val="both"/>
        <w:rPr>
          <w:rFonts w:ascii="Times New Roman" w:hAnsi="Times New Roman"/>
          <w:sz w:val="20"/>
          <w:lang w:val="en-GB"/>
        </w:rPr>
      </w:pPr>
      <w:r w:rsidRPr="00F84925">
        <w:rPr>
          <w:rStyle w:val="FootnoteReference"/>
          <w:rFonts w:ascii="Times New Roman" w:hAnsi="Times New Roman"/>
          <w:sz w:val="20"/>
        </w:rPr>
        <w:footnoteRef/>
      </w:r>
      <w:r w:rsidRPr="00F84925">
        <w:rPr>
          <w:rFonts w:ascii="Times New Roman" w:hAnsi="Times New Roman"/>
          <w:sz w:val="20"/>
          <w:lang w:val="en-GB"/>
        </w:rPr>
        <w:t xml:space="preserve"> Cards which give access to e-money stored on e-money accounts are cards linked to e-money (card) accounts. The user of the e-money card might not be aware of such an e-money account. A typical example is a prepaid card. While prepaid cards are often cards which give access to e-money stored on e-money accounts, some prepaid cards are cards on which e-money can be stored directly.</w:t>
      </w:r>
    </w:p>
  </w:footnote>
  <w:footnote w:id="78">
    <w:p w14:paraId="450BC9B8" w14:textId="77777777" w:rsidR="000164EB" w:rsidRPr="00F84925" w:rsidRDefault="000164EB" w:rsidP="00F45E67">
      <w:pPr>
        <w:pStyle w:val="FootnoteText"/>
        <w:jc w:val="both"/>
        <w:rPr>
          <w:rFonts w:ascii="Times New Roman" w:hAnsi="Times New Roman"/>
          <w:lang w:val="en-GB"/>
        </w:rPr>
      </w:pPr>
      <w:r w:rsidRPr="00F84925">
        <w:rPr>
          <w:rStyle w:val="FootnoteReference"/>
          <w:rFonts w:ascii="Times New Roman" w:hAnsi="Times New Roman"/>
        </w:rPr>
        <w:footnoteRef/>
      </w:r>
      <w:r w:rsidRPr="00F84925">
        <w:rPr>
          <w:rFonts w:ascii="Times New Roman" w:hAnsi="Times New Roman"/>
          <w:lang w:val="en-GB"/>
        </w:rPr>
        <w:t xml:space="preserve"> </w:t>
      </w:r>
      <w:r w:rsidRPr="004D06A9">
        <w:rPr>
          <w:rFonts w:ascii="Times New Roman" w:hAnsi="Times New Roman"/>
          <w:lang w:val="en-GB"/>
        </w:rPr>
        <w:t>A solution used to initiate payments for which the payments data and the payment instructions are transmitted and/or confirmed via mobile communication and data transmission technology through a mobile device. This category includes digital wallets and other mobile payment solutions used to initiate P2P (person-to-person) and/or C2B (consumer-to-business) transactions, i.e. credit transfers, card payments and/or e-money transactions.</w:t>
      </w:r>
    </w:p>
  </w:footnote>
  <w:footnote w:id="79">
    <w:p w14:paraId="70467E0B" w14:textId="77777777" w:rsidR="000164EB" w:rsidRPr="0080309D" w:rsidRDefault="000164EB" w:rsidP="0080309D">
      <w:pPr>
        <w:pStyle w:val="FootnoteText"/>
        <w:jc w:val="both"/>
        <w:rPr>
          <w:lang w:val="en-GB"/>
        </w:rPr>
      </w:pPr>
      <w:r w:rsidRPr="0080309D">
        <w:rPr>
          <w:rStyle w:val="FootnoteReference"/>
          <w:rFonts w:ascii="Times New Roman" w:hAnsi="Times New Roman"/>
        </w:rPr>
        <w:footnoteRef/>
      </w:r>
      <w:r>
        <w:rPr>
          <w:rFonts w:ascii="Times New Roman" w:hAnsi="Times New Roman"/>
          <w:lang w:val="en-GB"/>
        </w:rPr>
        <w:t xml:space="preserve"> Also, i</w:t>
      </w:r>
      <w:r w:rsidRPr="0080309D">
        <w:rPr>
          <w:rFonts w:ascii="Times New Roman" w:hAnsi="Times New Roman"/>
          <w:lang w:val="en-GB"/>
        </w:rPr>
        <w:t>nclude</w:t>
      </w:r>
      <w:r>
        <w:rPr>
          <w:rFonts w:ascii="Times New Roman" w:hAnsi="Times New Roman"/>
          <w:lang w:val="en-GB"/>
        </w:rPr>
        <w:t>s</w:t>
      </w:r>
      <w:r w:rsidRPr="0080309D">
        <w:rPr>
          <w:rFonts w:ascii="Times New Roman" w:hAnsi="Times New Roman"/>
          <w:lang w:val="en-GB"/>
        </w:rPr>
        <w:t xml:space="preserve"> the cheques where the issuer and the beneficiary </w:t>
      </w:r>
      <w:r>
        <w:rPr>
          <w:rFonts w:ascii="Times New Roman" w:hAnsi="Times New Roman"/>
          <w:lang w:val="en-GB"/>
        </w:rPr>
        <w:t>are both customers of the same Reporting A</w:t>
      </w:r>
      <w:r w:rsidRPr="0080309D">
        <w:rPr>
          <w:rFonts w:ascii="Times New Roman" w:hAnsi="Times New Roman"/>
          <w:lang w:val="en-GB"/>
        </w:rPr>
        <w:t xml:space="preserve">gent. </w:t>
      </w:r>
    </w:p>
  </w:footnote>
  <w:footnote w:id="80">
    <w:p w14:paraId="5B5E62E8" w14:textId="77777777" w:rsidR="000164EB" w:rsidRPr="00F84925" w:rsidRDefault="000164EB" w:rsidP="0080309D">
      <w:pPr>
        <w:pStyle w:val="FootnoteText"/>
        <w:jc w:val="both"/>
        <w:rPr>
          <w:rFonts w:ascii="Times New Roman" w:hAnsi="Times New Roman"/>
          <w:lang w:val="en-GB"/>
        </w:rPr>
      </w:pPr>
      <w:r w:rsidRPr="0080309D">
        <w:rPr>
          <w:rStyle w:val="FootnoteReference"/>
          <w:rFonts w:ascii="Times New Roman" w:hAnsi="Times New Roman"/>
        </w:rPr>
        <w:footnoteRef/>
      </w:r>
      <w:r w:rsidRPr="0080309D">
        <w:rPr>
          <w:rFonts w:ascii="Times New Roman" w:hAnsi="Times New Roman"/>
          <w:lang w:val="en-GB"/>
        </w:rPr>
        <w:t xml:space="preserve"> A simple payment service that is usually based on cash provided by a payer to a PSP, that remits the corresponding amount, for example via a communication network, to a payee or to another PSP acting on behalf of the payee. The defining feature of a remittance is the fact that funds are received from a payer without any payment accounts being created in the name of the payer or payee.</w:t>
      </w:r>
    </w:p>
  </w:footnote>
  <w:footnote w:id="81">
    <w:p w14:paraId="4F05424F" w14:textId="77777777" w:rsidR="000164EB" w:rsidRPr="00244A16" w:rsidRDefault="000164EB" w:rsidP="007D6320">
      <w:pPr>
        <w:jc w:val="both"/>
        <w:rPr>
          <w:rFonts w:cs="Arial"/>
          <w:sz w:val="18"/>
          <w:szCs w:val="18"/>
          <w:lang w:val="en-GB"/>
        </w:rPr>
      </w:pPr>
      <w:r w:rsidRPr="00F84925">
        <w:rPr>
          <w:rStyle w:val="FootnoteReference"/>
          <w:rFonts w:ascii="Times New Roman" w:hAnsi="Times New Roman"/>
          <w:sz w:val="20"/>
        </w:rPr>
        <w:footnoteRef/>
      </w:r>
      <w:r w:rsidRPr="00F84925">
        <w:rPr>
          <w:rFonts w:ascii="Times New Roman" w:hAnsi="Times New Roman"/>
          <w:sz w:val="20"/>
          <w:lang w:val="en-GB"/>
        </w:rPr>
        <w:t xml:space="preserve"> This breakdown should remain empty, as PISPs are currently only allowed to initiate credit transfers. The sub-category ‘other’ would only be filled in if, in the future, PISPs were allowed to initiate transactions other than credit transfers.</w:t>
      </w:r>
      <w:r w:rsidRPr="00244A16">
        <w:rPr>
          <w:rFonts w:cs="Arial"/>
          <w:sz w:val="18"/>
          <w:szCs w:val="18"/>
          <w:lang w:val="en-GB"/>
        </w:rPr>
        <w:t xml:space="preserve"> </w:t>
      </w:r>
    </w:p>
  </w:footnote>
  <w:footnote w:id="82">
    <w:p w14:paraId="17CDBD59" w14:textId="1E31C681" w:rsidR="000164EB" w:rsidRPr="00244A16" w:rsidRDefault="000164EB" w:rsidP="001A0639">
      <w:pPr>
        <w:pStyle w:val="FootnoteText"/>
        <w:jc w:val="both"/>
        <w:rPr>
          <w:lang w:val="en-GB"/>
        </w:rPr>
      </w:pPr>
      <w:r w:rsidRPr="000639FF">
        <w:rPr>
          <w:rStyle w:val="FootnoteReference"/>
          <w:rFonts w:ascii="Times New Roman" w:hAnsi="Times New Roman"/>
        </w:rPr>
        <w:footnoteRef/>
      </w:r>
      <w:r w:rsidRPr="000639FF">
        <w:rPr>
          <w:rFonts w:ascii="Times New Roman" w:hAnsi="Times New Roman"/>
          <w:lang w:val="en-GB"/>
        </w:rPr>
        <w:t xml:space="preserve"> </w:t>
      </w:r>
      <w:r w:rsidRPr="00244A16">
        <w:rPr>
          <w:rFonts w:ascii="Times New Roman" w:hAnsi="Times New Roman"/>
          <w:lang w:val="en-GB"/>
        </w:rPr>
        <w:t>Means a credit entry, to the account of a customer, without the use of a traditional payment instrument</w:t>
      </w:r>
      <w:r>
        <w:rPr>
          <w:rFonts w:ascii="Times New Roman" w:hAnsi="Times New Roman"/>
          <w:lang w:val="en-GB"/>
        </w:rPr>
        <w:t>. I</w:t>
      </w:r>
      <w:r w:rsidRPr="00783871">
        <w:rPr>
          <w:rFonts w:ascii="Times New Roman" w:hAnsi="Times New Roman"/>
          <w:lang w:val="en-GB"/>
        </w:rPr>
        <w:t>ncludes interest payment by the bank, dividend payment by the bank, disbursal of the amount of a loan to the current account of the customer and other credits to the account by simple book entry</w:t>
      </w:r>
      <w:r>
        <w:rPr>
          <w:rFonts w:ascii="Times New Roman" w:hAnsi="Times New Roman"/>
          <w:lang w:val="en-GB"/>
        </w:rPr>
        <w:t xml:space="preserve"> (</w:t>
      </w:r>
      <w:r w:rsidRPr="001A0639">
        <w:rPr>
          <w:rFonts w:ascii="Times New Roman" w:hAnsi="Times New Roman"/>
          <w:lang w:val="en-GB"/>
        </w:rPr>
        <w:t>Settlement of payment card balances</w:t>
      </w:r>
      <w:r>
        <w:rPr>
          <w:rFonts w:ascii="Times New Roman" w:hAnsi="Times New Roman"/>
          <w:lang w:val="en-GB"/>
        </w:rPr>
        <w:t xml:space="preserve"> t</w:t>
      </w:r>
      <w:r w:rsidRPr="001A0639">
        <w:rPr>
          <w:rFonts w:ascii="Times New Roman" w:hAnsi="Times New Roman"/>
          <w:lang w:val="en-GB"/>
        </w:rPr>
        <w:t>o be reported in case the balance on a payment card is settled via a simple book entry.</w:t>
      </w:r>
      <w:r>
        <w:rPr>
          <w:rFonts w:ascii="Times New Roman" w:hAnsi="Times New Roman"/>
          <w:lang w:val="en-GB"/>
        </w:rPr>
        <w:t xml:space="preserve"> </w:t>
      </w:r>
      <w:r w:rsidRPr="001A0639">
        <w:rPr>
          <w:rFonts w:ascii="Times New Roman" w:hAnsi="Times New Roman"/>
          <w:lang w:val="en-GB"/>
        </w:rPr>
        <w:t>In case the settlement is done via a debit request, this operation should be reported in the table on direct debits</w:t>
      </w:r>
      <w:r>
        <w:rPr>
          <w:rFonts w:ascii="Times New Roman" w:hAnsi="Times New Roman"/>
          <w:lang w:val="en-GB"/>
        </w:rPr>
        <w:t>)</w:t>
      </w:r>
      <w:r w:rsidRPr="00783871">
        <w:rPr>
          <w:rFonts w:ascii="Times New Roman" w:hAnsi="Times New Roman"/>
          <w:lang w:val="en-GB"/>
        </w:rPr>
        <w:t>. These data are excluded from credit transfers.</w:t>
      </w:r>
    </w:p>
  </w:footnote>
  <w:footnote w:id="83">
    <w:p w14:paraId="4AE5C158" w14:textId="77777777" w:rsidR="000164EB" w:rsidRPr="007D6320" w:rsidRDefault="000164EB" w:rsidP="00D44CF7">
      <w:pPr>
        <w:pStyle w:val="FootnoteText"/>
        <w:jc w:val="both"/>
        <w:rPr>
          <w:lang w:val="en-GB"/>
        </w:rPr>
      </w:pPr>
      <w:r w:rsidRPr="00487A1F">
        <w:rPr>
          <w:rStyle w:val="FootnoteReference"/>
          <w:rFonts w:ascii="Times New Roman" w:hAnsi="Times New Roman"/>
        </w:rPr>
        <w:footnoteRef/>
      </w:r>
      <w:r w:rsidRPr="00487A1F">
        <w:rPr>
          <w:rFonts w:ascii="Times New Roman" w:hAnsi="Times New Roman"/>
          <w:lang w:val="en-GB"/>
        </w:rPr>
        <w:t xml:space="preserve"> Includes interest</w:t>
      </w:r>
      <w:r w:rsidRPr="007D6320">
        <w:rPr>
          <w:rFonts w:ascii="Times New Roman" w:hAnsi="Times New Roman"/>
          <w:lang w:val="en-GB"/>
        </w:rPr>
        <w:t xml:space="preserve"> charges by the bank, deduction of banking fees, payment of taxes linked to financial assets, repayments of the amount of a loan, other debits from an account by simple book entry.</w:t>
      </w:r>
    </w:p>
  </w:footnote>
  <w:footnote w:id="84">
    <w:p w14:paraId="27BDD2A3" w14:textId="15DFDBA1" w:rsidR="000164EB" w:rsidRPr="00347D32" w:rsidRDefault="000164EB" w:rsidP="00E14EA4">
      <w:pPr>
        <w:pStyle w:val="FootnoteText"/>
        <w:jc w:val="both"/>
        <w:rPr>
          <w:rFonts w:ascii="Times New Roman" w:hAnsi="Times New Roman"/>
          <w:lang w:val="en-GB"/>
        </w:rPr>
      </w:pPr>
      <w:r w:rsidRPr="00F81C93">
        <w:rPr>
          <w:rStyle w:val="FootnoteReference"/>
          <w:rFonts w:ascii="Times New Roman" w:hAnsi="Times New Roman"/>
        </w:rPr>
        <w:footnoteRef/>
      </w:r>
      <w:r w:rsidRPr="00F81C93">
        <w:rPr>
          <w:rFonts w:ascii="Times New Roman" w:hAnsi="Times New Roman"/>
          <w:lang w:val="en-GB"/>
        </w:rPr>
        <w:t xml:space="preserve"> </w:t>
      </w:r>
      <w:r w:rsidRPr="00CF1FA7">
        <w:rPr>
          <w:rFonts w:ascii="Times New Roman" w:hAnsi="Times New Roman"/>
          <w:lang w:val="en-GB"/>
        </w:rPr>
        <w:t>Only transactions with card-based payment instruments should be reported in this table, where these card-based instruments could also include mobile apps</w:t>
      </w:r>
      <w:r>
        <w:rPr>
          <w:rFonts w:ascii="Times New Roman" w:hAnsi="Times New Roman"/>
          <w:lang w:val="en-GB"/>
        </w:rPr>
        <w:t>. It solely includes non-remote transactions.</w:t>
      </w:r>
    </w:p>
  </w:footnote>
  <w:footnote w:id="85">
    <w:p w14:paraId="2225E98A" w14:textId="2D932683" w:rsidR="000164EB" w:rsidRPr="00F81C93" w:rsidRDefault="000164EB" w:rsidP="00347D32">
      <w:pPr>
        <w:pStyle w:val="FootnoteText"/>
        <w:rPr>
          <w:rFonts w:ascii="Times New Roman" w:hAnsi="Times New Roman"/>
          <w:lang w:val="en-GB"/>
        </w:rPr>
      </w:pPr>
      <w:r w:rsidRPr="00F81C93">
        <w:rPr>
          <w:rStyle w:val="FootnoteReference"/>
          <w:rFonts w:ascii="Times New Roman" w:hAnsi="Times New Roman"/>
        </w:rPr>
        <w:footnoteRef/>
      </w:r>
      <w:r w:rsidRPr="00F81C93">
        <w:rPr>
          <w:rFonts w:ascii="Times New Roman" w:hAnsi="Times New Roman"/>
          <w:lang w:val="en-GB"/>
        </w:rPr>
        <w:t xml:space="preserve"> </w:t>
      </w:r>
      <w:r>
        <w:rPr>
          <w:rFonts w:ascii="Times New Roman" w:hAnsi="Times New Roman"/>
          <w:lang w:val="en-GB"/>
        </w:rPr>
        <w:t xml:space="preserve">These are </w:t>
      </w:r>
      <w:r w:rsidRPr="00F81C93">
        <w:rPr>
          <w:rFonts w:ascii="Times New Roman" w:hAnsi="Times New Roman"/>
          <w:lang w:val="en-GB"/>
        </w:rPr>
        <w:t>payment transactions performed at an ATM using a card-based pa</w:t>
      </w:r>
      <w:r>
        <w:rPr>
          <w:rFonts w:ascii="Times New Roman" w:hAnsi="Times New Roman"/>
          <w:lang w:val="en-GB"/>
        </w:rPr>
        <w:t>yment instrument or other means, in which</w:t>
      </w:r>
      <w:r w:rsidRPr="00347D32">
        <w:rPr>
          <w:rFonts w:ascii="Times New Roman" w:hAnsi="Times New Roman"/>
          <w:lang w:val="en-GB"/>
        </w:rPr>
        <w:t xml:space="preserve"> </w:t>
      </w:r>
      <w:r>
        <w:rPr>
          <w:rFonts w:ascii="Times New Roman" w:hAnsi="Times New Roman"/>
          <w:lang w:val="en-GB"/>
        </w:rPr>
        <w:t xml:space="preserve">these </w:t>
      </w:r>
      <w:r w:rsidRPr="00347D32">
        <w:rPr>
          <w:rFonts w:ascii="Times New Roman" w:hAnsi="Times New Roman"/>
          <w:lang w:val="en-GB"/>
        </w:rPr>
        <w:t>withdrawal</w:t>
      </w:r>
      <w:r>
        <w:rPr>
          <w:rFonts w:ascii="Times New Roman" w:hAnsi="Times New Roman"/>
          <w:lang w:val="en-GB"/>
        </w:rPr>
        <w:t>s are</w:t>
      </w:r>
      <w:r w:rsidRPr="00347D32">
        <w:rPr>
          <w:rFonts w:ascii="Times New Roman" w:hAnsi="Times New Roman"/>
          <w:lang w:val="en-GB"/>
        </w:rPr>
        <w:t xml:space="preserve"> processed without a card payment file being created and processed via a PCS (i.e. </w:t>
      </w:r>
      <w:r>
        <w:rPr>
          <w:rFonts w:ascii="Times New Roman" w:hAnsi="Times New Roman"/>
          <w:lang w:val="en-GB"/>
        </w:rPr>
        <w:t>without a card involved at all).  These exclude</w:t>
      </w:r>
      <w:r w:rsidRPr="00F81C93">
        <w:rPr>
          <w:rFonts w:ascii="Times New Roman" w:hAnsi="Times New Roman"/>
          <w:lang w:val="en-GB"/>
        </w:rPr>
        <w:t xml:space="preserve"> ATM cash withdrawals and ATM cash deposits.</w:t>
      </w:r>
      <w:r>
        <w:rPr>
          <w:rFonts w:ascii="Times New Roman" w:hAnsi="Times New Roman"/>
          <w:lang w:val="en-GB"/>
        </w:rPr>
        <w:t xml:space="preserve"> </w:t>
      </w:r>
      <w:r w:rsidRPr="00EE26AC">
        <w:rPr>
          <w:rFonts w:ascii="Times New Roman" w:hAnsi="Times New Roman"/>
          <w:lang w:val="en-GB"/>
        </w:rPr>
        <w:t xml:space="preserve">Relevant transactions </w:t>
      </w:r>
      <w:r>
        <w:rPr>
          <w:rFonts w:ascii="Times New Roman" w:hAnsi="Times New Roman"/>
          <w:lang w:val="en-GB"/>
        </w:rPr>
        <w:t>could be</w:t>
      </w:r>
      <w:r w:rsidRPr="00EE26AC">
        <w:rPr>
          <w:rFonts w:ascii="Times New Roman" w:hAnsi="Times New Roman"/>
          <w:lang w:val="en-GB"/>
        </w:rPr>
        <w:t xml:space="preserve"> credit payments</w:t>
      </w:r>
      <w:r>
        <w:rPr>
          <w:rFonts w:ascii="Times New Roman" w:hAnsi="Times New Roman"/>
          <w:lang w:val="en-GB"/>
        </w:rPr>
        <w:t xml:space="preserve"> executed on ATMs</w:t>
      </w:r>
      <w:r w:rsidRPr="00EE26AC">
        <w:rPr>
          <w:rFonts w:ascii="Times New Roman" w:hAnsi="Times New Roman"/>
          <w:lang w:val="en-GB"/>
        </w:rPr>
        <w:t xml:space="preserve"> (</w:t>
      </w:r>
      <w:r>
        <w:rPr>
          <w:rFonts w:ascii="Times New Roman" w:hAnsi="Times New Roman"/>
          <w:lang w:val="en-GB"/>
        </w:rPr>
        <w:t>e.g.</w:t>
      </w:r>
      <w:r w:rsidRPr="00EE26AC">
        <w:rPr>
          <w:rFonts w:ascii="Times New Roman" w:hAnsi="Times New Roman"/>
          <w:lang w:val="en-GB"/>
        </w:rPr>
        <w:t xml:space="preserve"> payments of </w:t>
      </w:r>
      <w:r>
        <w:rPr>
          <w:rFonts w:ascii="Times New Roman" w:hAnsi="Times New Roman"/>
          <w:lang w:val="en-GB"/>
        </w:rPr>
        <w:t xml:space="preserve">utility </w:t>
      </w:r>
      <w:r w:rsidRPr="00EE26AC">
        <w:rPr>
          <w:rFonts w:ascii="Times New Roman" w:hAnsi="Times New Roman"/>
          <w:lang w:val="en-GB"/>
        </w:rPr>
        <w:t>bills) and purchases (</w:t>
      </w:r>
      <w:r>
        <w:rPr>
          <w:rFonts w:ascii="Times New Roman" w:hAnsi="Times New Roman"/>
          <w:lang w:val="en-GB"/>
        </w:rPr>
        <w:t>e.g.</w:t>
      </w:r>
      <w:r w:rsidRPr="00EE26AC">
        <w:rPr>
          <w:rFonts w:ascii="Times New Roman" w:hAnsi="Times New Roman"/>
          <w:lang w:val="en-GB"/>
        </w:rPr>
        <w:t xml:space="preserve"> purchases</w:t>
      </w:r>
      <w:r>
        <w:rPr>
          <w:rFonts w:ascii="Times New Roman" w:hAnsi="Times New Roman"/>
          <w:lang w:val="en-GB"/>
        </w:rPr>
        <w:t xml:space="preserve"> </w:t>
      </w:r>
      <w:r w:rsidRPr="00EE26AC">
        <w:rPr>
          <w:rFonts w:ascii="Times New Roman" w:hAnsi="Times New Roman"/>
          <w:lang w:val="en-GB"/>
        </w:rPr>
        <w:t>of prepaid mobile phone cards).</w:t>
      </w:r>
    </w:p>
  </w:footnote>
  <w:footnote w:id="86">
    <w:p w14:paraId="25B0B2B3" w14:textId="04E31EAE" w:rsidR="000164EB" w:rsidRPr="006C5213" w:rsidRDefault="000164EB">
      <w:pPr>
        <w:pStyle w:val="FootnoteText"/>
        <w:rPr>
          <w:b/>
          <w:lang w:val="en-GB"/>
        </w:rPr>
      </w:pPr>
      <w:r>
        <w:rPr>
          <w:rStyle w:val="FootnoteReference"/>
        </w:rPr>
        <w:footnoteRef/>
      </w:r>
      <w:r w:rsidRPr="006C5213">
        <w:rPr>
          <w:lang w:val="en-GB"/>
        </w:rPr>
        <w:t xml:space="preserve"> </w:t>
      </w:r>
      <w:r w:rsidRPr="006C5213">
        <w:rPr>
          <w:rFonts w:ascii="Times New Roman" w:hAnsi="Times New Roman"/>
          <w:lang w:val="en-GB"/>
        </w:rPr>
        <w:t>Transactions performed through a POS terminal using a card or other means containing the appropriate payment application. Transactions using a card with an e-money function and cash advances at POS are not included.</w:t>
      </w:r>
      <w:r>
        <w:rPr>
          <w:rFonts w:ascii="Times New Roman" w:hAnsi="Times New Roman"/>
          <w:lang w:val="en-GB"/>
        </w:rPr>
        <w:t xml:space="preserve"> </w:t>
      </w:r>
      <w:r w:rsidRPr="006C5213">
        <w:rPr>
          <w:rFonts w:ascii="Times New Roman" w:hAnsi="Times New Roman"/>
          <w:lang w:val="en-GB"/>
        </w:rPr>
        <w:t>Transactions at mPOS terminals are reported as well.</w:t>
      </w:r>
    </w:p>
  </w:footnote>
  <w:footnote w:id="87">
    <w:p w14:paraId="59EBFB45" w14:textId="7E43E442" w:rsidR="000164EB" w:rsidRPr="00F50E64" w:rsidRDefault="000164EB" w:rsidP="005A11E5">
      <w:pPr>
        <w:jc w:val="both"/>
        <w:rPr>
          <w:lang w:val="en-GB"/>
        </w:rPr>
      </w:pPr>
      <w:r>
        <w:rPr>
          <w:rStyle w:val="FootnoteReference"/>
        </w:rPr>
        <w:footnoteRef/>
      </w:r>
      <w:r w:rsidRPr="00D606CF">
        <w:rPr>
          <w:lang w:val="en-GB"/>
        </w:rPr>
        <w:t xml:space="preserve"> </w:t>
      </w:r>
      <w:r w:rsidRPr="005A11E5">
        <w:rPr>
          <w:rFonts w:ascii="Times New Roman" w:hAnsi="Times New Roman"/>
          <w:sz w:val="20"/>
          <w:lang w:val="en-GB"/>
        </w:rPr>
        <w:t xml:space="preserve">Also includes cash withdrawals and cash deposits with e-money cards (excluding OTC transactions). This relates to transactions where electronic money from an e-money issuer is transferred to or from a </w:t>
      </w:r>
      <w:r w:rsidRPr="005A11E5">
        <w:rPr>
          <w:rFonts w:ascii="Times New Roman" w:hAnsi="Times New Roman"/>
          <w:sz w:val="20"/>
          <w:lang w:val="en-GB"/>
        </w:rPr>
        <w:br/>
        <w:t xml:space="preserve">card with an e-money function. All transactions are added together. Loading transactions are not offset </w:t>
      </w:r>
      <w:r w:rsidRPr="005A11E5">
        <w:rPr>
          <w:rFonts w:ascii="Times New Roman" w:hAnsi="Times New Roman"/>
          <w:sz w:val="20"/>
          <w:lang w:val="en-GB"/>
        </w:rPr>
        <w:br/>
        <w:t>against unloading transactions.</w:t>
      </w:r>
      <w:r>
        <w:rPr>
          <w:rFonts w:ascii="Times New Roman" w:hAnsi="Times New Roman"/>
          <w:sz w:val="20"/>
          <w:lang w:val="en-GB"/>
        </w:rPr>
        <w:t xml:space="preserve"> </w:t>
      </w:r>
      <w:r w:rsidRPr="00F50E64">
        <w:rPr>
          <w:rFonts w:ascii="Times New Roman" w:hAnsi="Times New Roman"/>
          <w:sz w:val="20"/>
          <w:lang w:val="en-GB"/>
        </w:rPr>
        <w:t>These would include transactions where loading/unloading is carried out by means of a cash deposit/withdrawal, meaning that cash is converted to e-money/e-money is converted to cash.</w:t>
      </w:r>
    </w:p>
  </w:footnote>
  <w:footnote w:id="88">
    <w:p w14:paraId="2B3C4023" w14:textId="77777777" w:rsidR="000164EB" w:rsidRPr="004E576A" w:rsidRDefault="000164EB" w:rsidP="00E14EA4">
      <w:pPr>
        <w:pStyle w:val="FootnoteText"/>
        <w:jc w:val="both"/>
        <w:rPr>
          <w:lang w:val="en-GB"/>
        </w:rPr>
      </w:pPr>
      <w:r w:rsidRPr="00531878">
        <w:rPr>
          <w:rStyle w:val="FootnoteReference"/>
          <w:rFonts w:ascii="Times New Roman" w:hAnsi="Times New Roman"/>
        </w:rPr>
        <w:footnoteRef/>
      </w:r>
      <w:r w:rsidRPr="00531878">
        <w:rPr>
          <w:rFonts w:ascii="Times New Roman" w:hAnsi="Times New Roman"/>
          <w:lang w:val="en-GB"/>
        </w:rPr>
        <w:t xml:space="preserve"> </w:t>
      </w:r>
      <w:r w:rsidRPr="00531878">
        <w:rPr>
          <w:rFonts w:ascii="Times New Roman" w:hAnsi="Times New Roman"/>
          <w:sz w:val="24"/>
          <w:szCs w:val="24"/>
          <w:lang w:val="en-GB"/>
        </w:rPr>
        <w:t xml:space="preserve"> </w:t>
      </w:r>
      <w:r w:rsidRPr="00531878">
        <w:rPr>
          <w:rFonts w:ascii="Times New Roman" w:hAnsi="Times New Roman"/>
          <w:lang w:val="en-GB"/>
        </w:rPr>
        <w:t>Include both, transactions</w:t>
      </w:r>
      <w:r w:rsidRPr="004E576A">
        <w:rPr>
          <w:rFonts w:ascii="Times New Roman" w:hAnsi="Times New Roman"/>
          <w:lang w:val="en-GB"/>
        </w:rPr>
        <w:t xml:space="preserve"> with cards on which e-money can be stored directly and with e-money accounts.</w:t>
      </w:r>
    </w:p>
  </w:footnote>
  <w:footnote w:id="89">
    <w:p w14:paraId="41753EDB" w14:textId="77777777" w:rsidR="000164EB" w:rsidRPr="007D6320" w:rsidRDefault="000164EB">
      <w:pPr>
        <w:pStyle w:val="FootnoteText"/>
        <w:rPr>
          <w:rFonts w:ascii="Times New Roman" w:hAnsi="Times New Roman"/>
          <w:lang w:val="en-GB"/>
        </w:rPr>
      </w:pPr>
      <w:r w:rsidRPr="007D6320">
        <w:rPr>
          <w:rStyle w:val="FootnoteReference"/>
          <w:rFonts w:ascii="Times New Roman" w:hAnsi="Times New Roman"/>
        </w:rPr>
        <w:footnoteRef/>
      </w:r>
      <w:r w:rsidRPr="007D6320">
        <w:rPr>
          <w:rFonts w:ascii="Times New Roman" w:hAnsi="Times New Roman"/>
          <w:lang w:val="en-GB"/>
        </w:rPr>
        <w:t xml:space="preserve"> May be made physically at the customer service counter, or using night safes, seal bag withdrawal boxes or cash-in-transit companies. Includes all cases in which cash withdrawals/ deposits are made and the withdrawer’s/ depositor’s account is debited/ credited via a manual step (either immediately or later).  However, when a withdrawal/ deposit is made from a machine and the account is debited automatically, this should be reported under ‘ATM cash withdrawals’.</w:t>
      </w:r>
    </w:p>
  </w:footnote>
  <w:footnote w:id="90">
    <w:p w14:paraId="3D2A0463" w14:textId="77777777" w:rsidR="000164EB" w:rsidRPr="007A2236" w:rsidRDefault="000164EB" w:rsidP="00923385">
      <w:pPr>
        <w:pStyle w:val="FootnoteText"/>
        <w:rPr>
          <w:lang w:val="en-GB"/>
        </w:rPr>
      </w:pPr>
      <w:r>
        <w:rPr>
          <w:rStyle w:val="FootnoteReference"/>
        </w:rPr>
        <w:footnoteRef/>
      </w:r>
      <w:r w:rsidRPr="007A2236">
        <w:rPr>
          <w:lang w:val="en-GB"/>
        </w:rPr>
        <w:t xml:space="preserve"> </w:t>
      </w:r>
      <w:r w:rsidRPr="007A2236">
        <w:rPr>
          <w:rFonts w:ascii="Times New Roman" w:hAnsi="Times New Roman"/>
          <w:lang w:val="en-GB"/>
        </w:rPr>
        <w:t>As per para. 20 of section 3.2. of the EBA Guideline, ‘</w:t>
      </w:r>
      <w:r w:rsidRPr="007A2236">
        <w:rPr>
          <w:rFonts w:ascii="Times New Roman" w:hAnsi="Times New Roman"/>
          <w:i/>
          <w:lang w:val="en-GB"/>
        </w:rPr>
        <w:t>Regarding the reporting of fraudulent payment transactions in the context of direct debits, the EBA clarifies that refunds under eight weeks should not be automatically reported, as they do not always indicate fraud cases; such transactions should be reported only if they were subject to fraud and the reporting PSP was aware that this was the case, without implying any legal obligation to ask the payment service user whether this was the case’</w:t>
      </w:r>
      <w:r w:rsidRPr="007A2236">
        <w:rPr>
          <w:rFonts w:ascii="Times New Roman" w:hAnsi="Times New Roman"/>
          <w:lang w:val="en-GB"/>
        </w:rPr>
        <w:t>.</w:t>
      </w:r>
    </w:p>
  </w:footnote>
  <w:footnote w:id="91">
    <w:p w14:paraId="5B2901E6" w14:textId="4D6842E0" w:rsidR="000164EB" w:rsidRPr="006148E6" w:rsidRDefault="000164EB" w:rsidP="006148E6">
      <w:pPr>
        <w:pStyle w:val="FootnoteText"/>
        <w:jc w:val="both"/>
        <w:rPr>
          <w:rFonts w:ascii="Times New Roman" w:hAnsi="Times New Roman"/>
          <w:lang w:val="en-GB"/>
        </w:rPr>
      </w:pPr>
      <w:r>
        <w:rPr>
          <w:rStyle w:val="FootnoteReference"/>
        </w:rPr>
        <w:footnoteRef/>
      </w:r>
      <w:r w:rsidRPr="006148E6">
        <w:rPr>
          <w:lang w:val="en-GB"/>
        </w:rPr>
        <w:t xml:space="preserve"> </w:t>
      </w:r>
      <w:r>
        <w:rPr>
          <w:rFonts w:ascii="Times New Roman" w:hAnsi="Times New Roman"/>
          <w:lang w:val="en-GB"/>
        </w:rPr>
        <w:t>Re</w:t>
      </w:r>
      <w:r w:rsidRPr="006148E6">
        <w:rPr>
          <w:rFonts w:ascii="Times New Roman" w:hAnsi="Times New Roman"/>
          <w:lang w:val="en-GB"/>
        </w:rPr>
        <w:t xml:space="preserve">fers to the losses by the reporting </w:t>
      </w:r>
      <w:r>
        <w:rPr>
          <w:rFonts w:ascii="Times New Roman" w:hAnsi="Times New Roman"/>
          <w:lang w:val="en-GB"/>
        </w:rPr>
        <w:t>PSP</w:t>
      </w:r>
      <w:r w:rsidRPr="006148E6">
        <w:rPr>
          <w:rFonts w:ascii="Times New Roman" w:hAnsi="Times New Roman"/>
          <w:lang w:val="en-GB"/>
        </w:rPr>
        <w:t xml:space="preserve">, its </w:t>
      </w:r>
      <w:r>
        <w:rPr>
          <w:rFonts w:ascii="Times New Roman" w:hAnsi="Times New Roman"/>
          <w:lang w:val="en-GB"/>
        </w:rPr>
        <w:t>PSU</w:t>
      </w:r>
      <w:r w:rsidRPr="006148E6">
        <w:rPr>
          <w:rFonts w:ascii="Times New Roman" w:hAnsi="Times New Roman"/>
          <w:lang w:val="en-GB"/>
        </w:rPr>
        <w:t xml:space="preserve"> or others, reflecting the actual impact of fraud on a cash flow basis. Since the registering of financial losses borne may be disassociated time-wise from the actual fraudulent transactions and in order to avoid revisions of reported data purely due to this immanent time lag, the final fraud losses should be reported in the period when they are recorded in the </w:t>
      </w:r>
      <w:r>
        <w:rPr>
          <w:rFonts w:ascii="Times New Roman" w:hAnsi="Times New Roman"/>
          <w:lang w:val="en-GB"/>
        </w:rPr>
        <w:t>PSP</w:t>
      </w:r>
      <w:r w:rsidRPr="006148E6">
        <w:rPr>
          <w:rFonts w:ascii="Times New Roman" w:hAnsi="Times New Roman"/>
          <w:lang w:val="en-GB"/>
        </w:rPr>
        <w:t>’s books. The final fraud loss figures should not take into account refunds by insurance agencies because they are not related to fraud preve</w:t>
      </w:r>
      <w:r>
        <w:rPr>
          <w:rFonts w:ascii="Times New Roman" w:hAnsi="Times New Roman"/>
          <w:lang w:val="en-GB"/>
        </w:rPr>
        <w:t>ntion for the purposes of PSD2.</w:t>
      </w:r>
    </w:p>
    <w:p w14:paraId="4F3ACBD7" w14:textId="1D29BD08" w:rsidR="000164EB" w:rsidRPr="006148E6" w:rsidRDefault="000164EB" w:rsidP="006148E6">
      <w:pPr>
        <w:pStyle w:val="FootnoteText"/>
        <w:jc w:val="both"/>
        <w:rPr>
          <w:rFonts w:ascii="Times New Roman" w:hAnsi="Times New Roman"/>
          <w:lang w:val="en-GB"/>
        </w:rPr>
      </w:pPr>
      <w:r w:rsidRPr="006148E6">
        <w:rPr>
          <w:rFonts w:ascii="Times New Roman" w:hAnsi="Times New Roman"/>
          <w:lang w:val="en-GB"/>
        </w:rPr>
        <w:t>Consequently, the “losses due to fraud per liability bearer” items should include the total amount of losses borne as recorder in the PSP’s books.</w:t>
      </w:r>
    </w:p>
    <w:p w14:paraId="2C6C942F" w14:textId="1DAAD78A" w:rsidR="000164EB" w:rsidRPr="006148E6" w:rsidRDefault="000164EB" w:rsidP="006148E6">
      <w:pPr>
        <w:pStyle w:val="FootnoteText"/>
        <w:jc w:val="both"/>
        <w:rPr>
          <w:lang w:val="en-GB"/>
        </w:rPr>
      </w:pPr>
      <w:r w:rsidRPr="006148E6">
        <w:rPr>
          <w:rFonts w:ascii="Times New Roman" w:hAnsi="Times New Roman"/>
          <w:lang w:val="en-GB"/>
        </w:rPr>
        <w:t>In addition, they should be reported in the reference period in which they were recorded in the PSP’s books.</w:t>
      </w:r>
    </w:p>
  </w:footnote>
  <w:footnote w:id="92">
    <w:p w14:paraId="267123D7" w14:textId="77777777" w:rsidR="000164EB" w:rsidRPr="00B95D83" w:rsidRDefault="000164EB" w:rsidP="006625A4">
      <w:pPr>
        <w:pStyle w:val="FootnoteText"/>
        <w:jc w:val="both"/>
        <w:rPr>
          <w:lang w:val="en-GB"/>
        </w:rPr>
      </w:pPr>
      <w:r w:rsidRPr="00DB4674">
        <w:rPr>
          <w:rStyle w:val="FootnoteReference"/>
          <w:rFonts w:ascii="Times New Roman" w:hAnsi="Times New Roman"/>
        </w:rPr>
        <w:footnoteRef/>
      </w:r>
      <w:r w:rsidRPr="00DB4674">
        <w:rPr>
          <w:rFonts w:ascii="Times New Roman" w:hAnsi="Times New Roman"/>
          <w:lang w:val="en-GB"/>
        </w:rPr>
        <w:t xml:space="preserve"> </w:t>
      </w:r>
      <w:r w:rsidRPr="00B95D83">
        <w:rPr>
          <w:rFonts w:ascii="Times New Roman" w:hAnsi="Times New Roman"/>
          <w:lang w:val="en-GB"/>
        </w:rPr>
        <w:t>This apply to all types of payment s</w:t>
      </w:r>
      <w:r>
        <w:rPr>
          <w:rFonts w:ascii="Times New Roman" w:hAnsi="Times New Roman"/>
          <w:lang w:val="en-GB"/>
        </w:rPr>
        <w:t>ervice sent, except for cheques</w:t>
      </w:r>
      <w:r w:rsidRPr="00B95D83">
        <w:rPr>
          <w:rFonts w:ascii="Times New Roman" w:hAnsi="Times New Roman"/>
          <w:lang w:val="en-GB"/>
        </w:rPr>
        <w:t xml:space="preserve">, money remittances, other payment services </w:t>
      </w:r>
      <w:r>
        <w:rPr>
          <w:rFonts w:ascii="Times New Roman" w:hAnsi="Times New Roman"/>
          <w:lang w:val="en-GB"/>
        </w:rPr>
        <w:t>and payment initiation</w:t>
      </w:r>
      <w:r w:rsidRPr="00B95D83">
        <w:rPr>
          <w:rFonts w:ascii="Times New Roman" w:hAnsi="Times New Roman"/>
          <w:lang w:val="en-GB"/>
        </w:rPr>
        <w:t>. Also, it doesn’t apply to any payment service received, apart from card-based payment transactions.</w:t>
      </w:r>
    </w:p>
  </w:footnote>
  <w:footnote w:id="93">
    <w:p w14:paraId="5D78C20D" w14:textId="77777777" w:rsidR="000164EB" w:rsidRPr="00F316AD" w:rsidRDefault="000164EB" w:rsidP="006625A4">
      <w:pPr>
        <w:pStyle w:val="FootnoteText"/>
        <w:jc w:val="both"/>
        <w:rPr>
          <w:lang w:val="en-GB"/>
        </w:rPr>
      </w:pPr>
      <w:r w:rsidRPr="00DB4674">
        <w:rPr>
          <w:rStyle w:val="FootnoteReference"/>
          <w:rFonts w:ascii="Times New Roman" w:hAnsi="Times New Roman"/>
        </w:rPr>
        <w:footnoteRef/>
      </w:r>
      <w:r w:rsidRPr="00DB4674">
        <w:rPr>
          <w:rFonts w:ascii="Times New Roman" w:hAnsi="Times New Roman"/>
          <w:lang w:val="en-GB"/>
        </w:rPr>
        <w:t xml:space="preserve"> Refer to Guideline 1, of EBA G</w:t>
      </w:r>
      <w:r>
        <w:rPr>
          <w:rFonts w:ascii="Times New Roman" w:hAnsi="Times New Roman"/>
          <w:lang w:val="en-GB"/>
        </w:rPr>
        <w:t xml:space="preserve">uidelines on Fraud reporting under PSD2 </w:t>
      </w:r>
      <w:r w:rsidRPr="00DB4674">
        <w:rPr>
          <w:rFonts w:ascii="Times New Roman" w:hAnsi="Times New Roman"/>
          <w:lang w:val="en-GB"/>
        </w:rPr>
        <w:t>(Guidelines on reporting requirements for fraud data under Article 96(6) PSD2).</w:t>
      </w:r>
    </w:p>
  </w:footnote>
  <w:footnote w:id="94">
    <w:p w14:paraId="7CB9497B" w14:textId="77777777" w:rsidR="000164EB" w:rsidRPr="00EB0D2E" w:rsidRDefault="000164EB" w:rsidP="006625A4">
      <w:pPr>
        <w:pStyle w:val="FootnoteText"/>
        <w:jc w:val="both"/>
        <w:rPr>
          <w:rFonts w:ascii="Times New Roman" w:hAnsi="Times New Roman"/>
          <w:lang w:val="en-GB"/>
        </w:rPr>
      </w:pPr>
      <w:r w:rsidRPr="00EB0D2E">
        <w:rPr>
          <w:rStyle w:val="FootnoteReference"/>
          <w:rFonts w:ascii="Times New Roman" w:hAnsi="Times New Roman"/>
        </w:rPr>
        <w:footnoteRef/>
      </w:r>
      <w:r w:rsidRPr="00EB0D2E">
        <w:rPr>
          <w:rStyle w:val="FootnoteReference"/>
          <w:rFonts w:ascii="Times New Roman" w:hAnsi="Times New Roman"/>
          <w:lang w:val="en-GB"/>
        </w:rPr>
        <w:t xml:space="preserve"> </w:t>
      </w:r>
      <w:r w:rsidRPr="00EB0D2E">
        <w:rPr>
          <w:rFonts w:ascii="Times New Roman" w:hAnsi="Times New Roman"/>
          <w:lang w:val="en-GB"/>
        </w:rPr>
        <w:t>This item refers to a situation where a fake payment order is issued by the fraudster after having obtained the payer/payee’s sensitive payment data through fraudulent means.</w:t>
      </w:r>
    </w:p>
  </w:footnote>
  <w:footnote w:id="95">
    <w:p w14:paraId="6B44EEF0" w14:textId="77777777" w:rsidR="000164EB" w:rsidRPr="00EB0D2E" w:rsidRDefault="000164EB" w:rsidP="006625A4">
      <w:pPr>
        <w:pStyle w:val="FootnoteText"/>
        <w:jc w:val="both"/>
        <w:rPr>
          <w:rFonts w:ascii="Times New Roman" w:hAnsi="Times New Roman"/>
          <w:lang w:val="en-GB"/>
        </w:rPr>
      </w:pPr>
      <w:r w:rsidRPr="00EB0D2E">
        <w:rPr>
          <w:rStyle w:val="FootnoteReference"/>
          <w:rFonts w:ascii="Times New Roman" w:hAnsi="Times New Roman"/>
        </w:rPr>
        <w:footnoteRef/>
      </w:r>
      <w:r w:rsidRPr="00EB0D2E">
        <w:rPr>
          <w:rFonts w:ascii="Times New Roman" w:hAnsi="Times New Roman"/>
          <w:lang w:val="en-GB"/>
        </w:rPr>
        <w:t xml:space="preserve"> The use of an altered or illegally reproduced card-based payment instrument, including the replication or alteration of the magnetic strip or embossing.</w:t>
      </w:r>
    </w:p>
  </w:footnote>
  <w:footnote w:id="96">
    <w:p w14:paraId="4E8F65BF" w14:textId="2F3A32EF" w:rsidR="000164EB" w:rsidRPr="00EB0D2E" w:rsidRDefault="000164EB" w:rsidP="006625A4">
      <w:pPr>
        <w:pStyle w:val="FootnoteText"/>
        <w:jc w:val="both"/>
        <w:rPr>
          <w:rFonts w:ascii="Times New Roman" w:hAnsi="Times New Roman"/>
          <w:lang w:val="en-GB"/>
        </w:rPr>
      </w:pPr>
      <w:r w:rsidRPr="00EB0D2E">
        <w:rPr>
          <w:rStyle w:val="FootnoteReference"/>
          <w:rFonts w:ascii="Times New Roman" w:hAnsi="Times New Roman"/>
        </w:rPr>
        <w:footnoteRef/>
      </w:r>
      <w:r w:rsidRPr="00EB0D2E">
        <w:rPr>
          <w:rFonts w:ascii="Times New Roman" w:hAnsi="Times New Roman"/>
          <w:lang w:val="en-GB"/>
        </w:rPr>
        <w:t xml:space="preserve"> Theft of sensitive payment data as defined in Article 4(32) of Directive (EU) 2015/2366.</w:t>
      </w:r>
      <w:r w:rsidR="00EE3E0C">
        <w:rPr>
          <w:rFonts w:ascii="Times New Roman" w:hAnsi="Times New Roman"/>
          <w:lang w:val="en-GB"/>
        </w:rPr>
        <w:t xml:space="preserve"> </w:t>
      </w:r>
    </w:p>
  </w:footnote>
  <w:footnote w:id="97">
    <w:p w14:paraId="6E3F3443" w14:textId="77777777" w:rsidR="000164EB" w:rsidRPr="00EB0D2E" w:rsidRDefault="000164EB" w:rsidP="006625A4">
      <w:pPr>
        <w:pStyle w:val="FootnoteText"/>
        <w:jc w:val="both"/>
        <w:rPr>
          <w:rFonts w:ascii="Times New Roman" w:hAnsi="Times New Roman"/>
          <w:lang w:val="en-GB"/>
        </w:rPr>
      </w:pPr>
      <w:r w:rsidRPr="00EB0D2E">
        <w:rPr>
          <w:rStyle w:val="FootnoteReference"/>
          <w:rFonts w:ascii="Times New Roman" w:hAnsi="Times New Roman"/>
        </w:rPr>
        <w:footnoteRef/>
      </w:r>
      <w:r w:rsidRPr="00EB0D2E">
        <w:rPr>
          <w:rFonts w:ascii="Times New Roman" w:hAnsi="Times New Roman"/>
          <w:lang w:val="en-GB"/>
        </w:rPr>
        <w:t xml:space="preserve"> This item refers to a situation where the fraudster intercepts and modifies a legitimate payment order at some point during the electronic communication between the payer’s device and the payment service provider or modifies the payment instruction in the payment service provider’s system before the payment order is cleared and settled.</w:t>
      </w:r>
    </w:p>
  </w:footnote>
  <w:footnote w:id="98">
    <w:p w14:paraId="09C4F36B" w14:textId="77777777" w:rsidR="000164EB" w:rsidRPr="00EB0D2E" w:rsidRDefault="000164EB" w:rsidP="006625A4">
      <w:pPr>
        <w:pStyle w:val="FootnoteText"/>
        <w:jc w:val="both"/>
        <w:rPr>
          <w:rFonts w:ascii="Times New Roman" w:hAnsi="Times New Roman"/>
          <w:lang w:val="en-GB"/>
        </w:rPr>
      </w:pPr>
      <w:r w:rsidRPr="00EB0D2E">
        <w:rPr>
          <w:rStyle w:val="FootnoteReference"/>
          <w:rFonts w:ascii="Times New Roman" w:hAnsi="Times New Roman"/>
        </w:rPr>
        <w:footnoteRef/>
      </w:r>
      <w:r w:rsidRPr="00EB0D2E">
        <w:rPr>
          <w:rFonts w:ascii="Times New Roman" w:hAnsi="Times New Roman"/>
          <w:lang w:val="en-GB"/>
        </w:rPr>
        <w:t xml:space="preserve"> This item refers to a payment transactions made, as a result of the payer being manipulated by the fraudster to issue a payment order, or to give the instruction to do so to the payment service provider, in good-faith, to a payment account it believes belongs to a legitimate payee.</w:t>
      </w:r>
    </w:p>
  </w:footnote>
  <w:footnote w:id="99">
    <w:p w14:paraId="63BAF3C3" w14:textId="77777777" w:rsidR="000164EB" w:rsidRPr="00F23846" w:rsidRDefault="000164EB" w:rsidP="006625A4">
      <w:pPr>
        <w:pStyle w:val="FootnoteText"/>
        <w:jc w:val="both"/>
        <w:rPr>
          <w:rFonts w:ascii="Times New Roman" w:hAnsi="Times New Roman"/>
          <w:lang w:val="en-GB"/>
        </w:rPr>
      </w:pPr>
      <w:r w:rsidRPr="00EB0D2E">
        <w:rPr>
          <w:rStyle w:val="FootnoteReference"/>
          <w:rFonts w:ascii="Times New Roman" w:hAnsi="Times New Roman"/>
        </w:rPr>
        <w:footnoteRef/>
      </w:r>
      <w:r w:rsidRPr="00EB0D2E">
        <w:rPr>
          <w:rFonts w:ascii="Times New Roman" w:hAnsi="Times New Roman"/>
          <w:lang w:val="en-GB"/>
        </w:rPr>
        <w:t xml:space="preserve"> This item includes unauthorised payment transactions, which may occur as a result of theft or misappropriation of sensitive payment data or a payment instrument, whether detectable or not to the payer prior to a payment, whether or not caused by gross negligence of the payer or executed in the absence of consent by the payer</w:t>
      </w:r>
      <w:r>
        <w:rPr>
          <w:rFonts w:ascii="Times New Roman" w:hAnsi="Times New Roman"/>
          <w:lang w:val="en-GB"/>
        </w:rPr>
        <w:t>.</w:t>
      </w:r>
    </w:p>
  </w:footnote>
  <w:footnote w:id="100">
    <w:p w14:paraId="3520FD61" w14:textId="1A6ECD1A" w:rsidR="000164EB" w:rsidRPr="00830213" w:rsidRDefault="000164EB" w:rsidP="00830213">
      <w:pPr>
        <w:pStyle w:val="FootnoteText"/>
        <w:jc w:val="both"/>
        <w:rPr>
          <w:lang w:val="en-GB"/>
        </w:rPr>
      </w:pPr>
      <w:r>
        <w:rPr>
          <w:rStyle w:val="FootnoteReference"/>
        </w:rPr>
        <w:footnoteRef/>
      </w:r>
      <w:r w:rsidRPr="00830213">
        <w:rPr>
          <w:lang w:val="en-GB"/>
        </w:rPr>
        <w:t xml:space="preserve"> </w:t>
      </w:r>
      <w:r w:rsidRPr="00830213">
        <w:rPr>
          <w:rFonts w:ascii="Times New Roman" w:hAnsi="Times New Roman"/>
          <w:lang w:val="en-GB"/>
        </w:rPr>
        <w:t>e.g. within the territories of Kosovo (under UN Security Council Resolution 1244) or United Nations Interim administration Mission in Kosovo).</w:t>
      </w:r>
    </w:p>
  </w:footnote>
  <w:footnote w:id="101">
    <w:p w14:paraId="49F91D9E" w14:textId="1CC3F435" w:rsidR="000164EB" w:rsidRDefault="000164EB" w:rsidP="009F4D76">
      <w:pPr>
        <w:pStyle w:val="FootnoteText"/>
        <w:jc w:val="both"/>
        <w:rPr>
          <w:rFonts w:ascii="Times New Roman" w:hAnsi="Times New Roman"/>
          <w:lang w:val="en-GB"/>
        </w:rPr>
      </w:pPr>
      <w:r>
        <w:rPr>
          <w:rStyle w:val="FootnoteReference"/>
        </w:rPr>
        <w:footnoteRef/>
      </w:r>
      <w:r w:rsidRPr="0044732A">
        <w:rPr>
          <w:lang w:val="en-GB"/>
        </w:rPr>
        <w:t xml:space="preserve"> </w:t>
      </w:r>
      <w:r w:rsidRPr="0044732A">
        <w:rPr>
          <w:rFonts w:ascii="Times New Roman" w:hAnsi="Times New Roman"/>
          <w:lang w:val="en-GB"/>
        </w:rPr>
        <w:t>Card-based payment tra</w:t>
      </w:r>
      <w:r>
        <w:rPr>
          <w:rFonts w:ascii="Times New Roman" w:hAnsi="Times New Roman"/>
          <w:lang w:val="en-GB"/>
        </w:rPr>
        <w:t>n</w:t>
      </w:r>
      <w:r w:rsidRPr="0044732A">
        <w:rPr>
          <w:rFonts w:ascii="Times New Roman" w:hAnsi="Times New Roman"/>
          <w:lang w:val="en-GB"/>
        </w:rPr>
        <w:t xml:space="preserve">sactions initiated remotely are reported to identify the country in which the point of sale is located, while </w:t>
      </w:r>
      <w:r>
        <w:rPr>
          <w:rFonts w:ascii="Times New Roman" w:hAnsi="Times New Roman"/>
          <w:lang w:val="en-GB"/>
        </w:rPr>
        <w:t>those</w:t>
      </w:r>
      <w:r w:rsidRPr="0044732A">
        <w:rPr>
          <w:rFonts w:ascii="Times New Roman" w:hAnsi="Times New Roman"/>
          <w:lang w:val="en-GB"/>
        </w:rPr>
        <w:t xml:space="preserve"> initiated non-remotely are reported to identify the country in which the physical terminal is located.</w:t>
      </w:r>
    </w:p>
    <w:p w14:paraId="247C5BD7" w14:textId="53A9CF50" w:rsidR="000164EB" w:rsidRPr="00D03B56" w:rsidRDefault="000164EB" w:rsidP="009F4D76">
      <w:pPr>
        <w:pStyle w:val="FootnoteText"/>
        <w:jc w:val="both"/>
        <w:rPr>
          <w:lang w:val="en-GB"/>
        </w:rPr>
      </w:pPr>
      <w:r>
        <w:rPr>
          <w:rFonts w:ascii="Times New Roman" w:hAnsi="Times New Roman"/>
          <w:lang w:val="en-GB"/>
        </w:rPr>
        <w:t xml:space="preserve">As per para 29 of Article 2, of Chapter I of Interchange Fee Regulation, </w:t>
      </w:r>
      <w:r w:rsidRPr="00D03B56">
        <w:rPr>
          <w:rFonts w:ascii="Times New Roman" w:hAnsi="Times New Roman"/>
          <w:lang w:val="en-GB"/>
        </w:rPr>
        <w:t>‘</w:t>
      </w:r>
      <w:r>
        <w:rPr>
          <w:rFonts w:ascii="Times New Roman" w:hAnsi="Times New Roman"/>
          <w:lang w:val="en-GB"/>
        </w:rPr>
        <w:t>p</w:t>
      </w:r>
      <w:r w:rsidRPr="00D03B56">
        <w:rPr>
          <w:rFonts w:ascii="Times New Roman" w:hAnsi="Times New Roman"/>
          <w:lang w:val="en-GB"/>
        </w:rPr>
        <w:t>oint of sale’ means the address of the physical premises of the merchant at which the payment transaction is initiated. However: (a) in the case of distance sales or distance contracts (i.e. e-commerce) as defined in point 7 of Article 2 of Directive 2011/83/EU, the point of sale shall be the address of the fixed place of business at which the merchant conducts its business regardless of website or server locations through which the payment transaction is initiated; (b) in the event that the merchant does not have a fixed place of business, the point of sale shall be the address for which the merchant holds a valid business licence through which the payment transaction is initiated; (c) in the event that the merchant does not have a fixed place of business nor a valid business licence, the point of sale shall be the address for correspondence for the payment of its taxes relating to its sales activity through which the payment transaction is initiated;</w:t>
      </w:r>
    </w:p>
  </w:footnote>
  <w:footnote w:id="102">
    <w:p w14:paraId="74F209DE" w14:textId="02652FE5" w:rsidR="000164EB" w:rsidRPr="006D3E84" w:rsidRDefault="000164EB" w:rsidP="00180D7F">
      <w:pPr>
        <w:pStyle w:val="FootnoteText"/>
        <w:rPr>
          <w:lang w:val="en-GB"/>
        </w:rPr>
      </w:pPr>
      <w:r>
        <w:rPr>
          <w:rStyle w:val="FootnoteReference"/>
        </w:rPr>
        <w:footnoteRef/>
      </w:r>
      <w:r w:rsidRPr="006D3E84">
        <w:rPr>
          <w:lang w:val="en-GB"/>
        </w:rPr>
        <w:t xml:space="preserve"> </w:t>
      </w:r>
      <w:r w:rsidRPr="006D3E84">
        <w:rPr>
          <w:rFonts w:ascii="Times New Roman" w:hAnsi="Times New Roman"/>
          <w:lang w:val="en-GB"/>
        </w:rPr>
        <w:t>The ISO 18245 standard forms the basis of the reporting of MCC codes</w:t>
      </w:r>
      <w:r>
        <w:rPr>
          <w:rFonts w:ascii="Times New Roman" w:hAnsi="Times New Roman"/>
          <w:lang w:val="en-GB"/>
        </w:rPr>
        <w:t xml:space="preserve">. </w:t>
      </w:r>
      <w:r w:rsidRPr="00746B1F">
        <w:rPr>
          <w:rFonts w:ascii="Times New Roman" w:hAnsi="Times New Roman"/>
          <w:lang w:val="en-GB"/>
        </w:rPr>
        <w:t xml:space="preserve">MCC codes </w:t>
      </w:r>
      <w:r>
        <w:rPr>
          <w:rFonts w:ascii="Times New Roman" w:hAnsi="Times New Roman"/>
          <w:lang w:val="en-GB"/>
        </w:rPr>
        <w:t xml:space="preserve">are listed in the last excel sheet named ‘Codes’ of </w:t>
      </w:r>
      <w:r w:rsidRPr="005061BE">
        <w:rPr>
          <w:rFonts w:ascii="Times New Roman" w:hAnsi="Times New Roman"/>
          <w:i/>
          <w:lang w:val="en-GB"/>
        </w:rPr>
        <w:t>PAYSTS2_MASTER_TEMPLATE_QUARTER</w:t>
      </w:r>
      <w:r>
        <w:rPr>
          <w:rFonts w:ascii="Times New Roman" w:hAnsi="Times New Roman"/>
          <w:lang w:val="en-GB"/>
        </w:rPr>
        <w:t>. A</w:t>
      </w:r>
      <w:r w:rsidRPr="006C6CB0">
        <w:rPr>
          <w:rFonts w:ascii="Times New Roman" w:hAnsi="Times New Roman"/>
          <w:lang w:val="en-GB"/>
        </w:rPr>
        <w:t xml:space="preserve">irlines (codes between 3000 and 3350), car rentals (codes between 3351 and 3500) and hotels (codes between 3501 and 3999) </w:t>
      </w:r>
      <w:r>
        <w:rPr>
          <w:rFonts w:ascii="Times New Roman" w:hAnsi="Times New Roman"/>
          <w:lang w:val="en-GB"/>
        </w:rPr>
        <w:t>are</w:t>
      </w:r>
      <w:r w:rsidRPr="006C6CB0">
        <w:rPr>
          <w:rFonts w:ascii="Times New Roman" w:hAnsi="Times New Roman"/>
          <w:lang w:val="en-GB"/>
        </w:rPr>
        <w:t xml:space="preserve"> grouped and reported under dedicated (distinguish) codes.</w:t>
      </w:r>
    </w:p>
  </w:footnote>
  <w:footnote w:id="103">
    <w:p w14:paraId="5502E539" w14:textId="77777777" w:rsidR="002A74BE" w:rsidRPr="00994531" w:rsidRDefault="002A74BE" w:rsidP="002A74BE">
      <w:pPr>
        <w:pStyle w:val="FootnoteText"/>
        <w:rPr>
          <w:rFonts w:ascii="Times New Roman" w:hAnsi="Times New Roman"/>
          <w:lang w:val="en-GB"/>
        </w:rPr>
      </w:pPr>
      <w:r w:rsidRPr="00994531">
        <w:rPr>
          <w:rStyle w:val="FootnoteReference"/>
          <w:rFonts w:ascii="Times New Roman" w:hAnsi="Times New Roman"/>
        </w:rPr>
        <w:footnoteRef/>
      </w:r>
      <w:r w:rsidRPr="00994531">
        <w:rPr>
          <w:rFonts w:ascii="Times New Roman" w:hAnsi="Times New Roman"/>
          <w:lang w:val="en-GB"/>
        </w:rPr>
        <w:t xml:space="preserve"> This is the summation of those initiated non-electronically plus those initiated electronically via remote and non-remote payment channel.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9403420" o:spid="_x0000_i1025" type="#_x0000_t75" style="width:10.3pt;height:10.3pt;visibility:visible;mso-wrap-style:square" o:bullet="t">
        <v:imagedata r:id="rId1" o:title=""/>
      </v:shape>
    </w:pict>
  </w:numPicBullet>
  <w:abstractNum w:abstractNumId="0" w15:restartNumberingAfterBreak="0">
    <w:nsid w:val="10E43A97"/>
    <w:multiLevelType w:val="hybridMultilevel"/>
    <w:tmpl w:val="B97E965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B36387"/>
    <w:multiLevelType w:val="hybridMultilevel"/>
    <w:tmpl w:val="D706BD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4163A66"/>
    <w:multiLevelType w:val="hybridMultilevel"/>
    <w:tmpl w:val="EF8A1B6C"/>
    <w:lvl w:ilvl="0" w:tplc="5AD6568A">
      <w:start w:val="1"/>
      <w:numFmt w:val="lowerLetter"/>
      <w:pStyle w:val="Heading2"/>
      <w:lvlText w:val="%1."/>
      <w:lvlJc w:val="left"/>
      <w:pPr>
        <w:ind w:left="720" w:hanging="360"/>
      </w:pPr>
      <w:rPr>
        <w:rFonts w:ascii="Times New Roman" w:hAnsi="Times New Roman" w:cs="Times New Roman" w:hint="default"/>
        <w:color w:val="1F3864" w:themeColor="accent5" w:themeShade="80"/>
        <w:sz w:val="28"/>
        <w:szCs w:val="28"/>
      </w:rPr>
    </w:lvl>
    <w:lvl w:ilvl="1" w:tplc="20000019">
      <w:start w:val="1"/>
      <w:numFmt w:val="lowerLetter"/>
      <w:lvlText w:val="%2."/>
      <w:lvlJc w:val="left"/>
      <w:pPr>
        <w:ind w:left="1440" w:hanging="360"/>
      </w:pPr>
    </w:lvl>
    <w:lvl w:ilvl="2" w:tplc="2410D87E">
      <w:start w:val="1"/>
      <w:numFmt w:val="low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793DB5"/>
    <w:multiLevelType w:val="hybridMultilevel"/>
    <w:tmpl w:val="28300AB0"/>
    <w:lvl w:ilvl="0" w:tplc="3C307D6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50E35"/>
    <w:multiLevelType w:val="hybridMultilevel"/>
    <w:tmpl w:val="F8D0D1C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1862B09"/>
    <w:multiLevelType w:val="hybridMultilevel"/>
    <w:tmpl w:val="DE94694A"/>
    <w:lvl w:ilvl="0" w:tplc="611006FC">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D30B2D"/>
    <w:multiLevelType w:val="hybridMultilevel"/>
    <w:tmpl w:val="BB903D9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226DEE"/>
    <w:multiLevelType w:val="hybridMultilevel"/>
    <w:tmpl w:val="6C54617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BC0782E"/>
    <w:multiLevelType w:val="hybridMultilevel"/>
    <w:tmpl w:val="BF5E2C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D285A36"/>
    <w:multiLevelType w:val="hybridMultilevel"/>
    <w:tmpl w:val="4B6255EE"/>
    <w:lvl w:ilvl="0" w:tplc="611006FC">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E976B40"/>
    <w:multiLevelType w:val="hybridMultilevel"/>
    <w:tmpl w:val="59625D2E"/>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40606DAE"/>
    <w:multiLevelType w:val="hybridMultilevel"/>
    <w:tmpl w:val="D20CD6A0"/>
    <w:lvl w:ilvl="0" w:tplc="5602EB18">
      <w:start w:val="1"/>
      <w:numFmt w:val="bullet"/>
      <w:lvlText w:val="-"/>
      <w:lvlJc w:val="left"/>
      <w:pPr>
        <w:tabs>
          <w:tab w:val="num" w:pos="720"/>
        </w:tabs>
        <w:ind w:left="720" w:hanging="360"/>
      </w:pPr>
      <w:rPr>
        <w:rFonts w:ascii="Times New Roman" w:hAnsi="Times New Roman" w:hint="default"/>
      </w:rPr>
    </w:lvl>
    <w:lvl w:ilvl="1" w:tplc="AD9CC46C">
      <w:start w:val="1"/>
      <w:numFmt w:val="bullet"/>
      <w:lvlText w:val="-"/>
      <w:lvlJc w:val="left"/>
      <w:pPr>
        <w:tabs>
          <w:tab w:val="num" w:pos="1440"/>
        </w:tabs>
        <w:ind w:left="1440" w:hanging="360"/>
      </w:pPr>
      <w:rPr>
        <w:rFonts w:ascii="Times New Roman" w:hAnsi="Times New Roman" w:hint="default"/>
      </w:rPr>
    </w:lvl>
    <w:lvl w:ilvl="2" w:tplc="F79844F4" w:tentative="1">
      <w:start w:val="1"/>
      <w:numFmt w:val="bullet"/>
      <w:lvlText w:val="-"/>
      <w:lvlJc w:val="left"/>
      <w:pPr>
        <w:tabs>
          <w:tab w:val="num" w:pos="2160"/>
        </w:tabs>
        <w:ind w:left="2160" w:hanging="360"/>
      </w:pPr>
      <w:rPr>
        <w:rFonts w:ascii="Times New Roman" w:hAnsi="Times New Roman" w:hint="default"/>
      </w:rPr>
    </w:lvl>
    <w:lvl w:ilvl="3" w:tplc="9C8C4D0A" w:tentative="1">
      <w:start w:val="1"/>
      <w:numFmt w:val="bullet"/>
      <w:lvlText w:val="-"/>
      <w:lvlJc w:val="left"/>
      <w:pPr>
        <w:tabs>
          <w:tab w:val="num" w:pos="2880"/>
        </w:tabs>
        <w:ind w:left="2880" w:hanging="360"/>
      </w:pPr>
      <w:rPr>
        <w:rFonts w:ascii="Times New Roman" w:hAnsi="Times New Roman" w:hint="default"/>
      </w:rPr>
    </w:lvl>
    <w:lvl w:ilvl="4" w:tplc="D2021E92" w:tentative="1">
      <w:start w:val="1"/>
      <w:numFmt w:val="bullet"/>
      <w:lvlText w:val="-"/>
      <w:lvlJc w:val="left"/>
      <w:pPr>
        <w:tabs>
          <w:tab w:val="num" w:pos="3600"/>
        </w:tabs>
        <w:ind w:left="3600" w:hanging="360"/>
      </w:pPr>
      <w:rPr>
        <w:rFonts w:ascii="Times New Roman" w:hAnsi="Times New Roman" w:hint="default"/>
      </w:rPr>
    </w:lvl>
    <w:lvl w:ilvl="5" w:tplc="1C380F4E" w:tentative="1">
      <w:start w:val="1"/>
      <w:numFmt w:val="bullet"/>
      <w:lvlText w:val="-"/>
      <w:lvlJc w:val="left"/>
      <w:pPr>
        <w:tabs>
          <w:tab w:val="num" w:pos="4320"/>
        </w:tabs>
        <w:ind w:left="4320" w:hanging="360"/>
      </w:pPr>
      <w:rPr>
        <w:rFonts w:ascii="Times New Roman" w:hAnsi="Times New Roman" w:hint="default"/>
      </w:rPr>
    </w:lvl>
    <w:lvl w:ilvl="6" w:tplc="69E4AB2A" w:tentative="1">
      <w:start w:val="1"/>
      <w:numFmt w:val="bullet"/>
      <w:lvlText w:val="-"/>
      <w:lvlJc w:val="left"/>
      <w:pPr>
        <w:tabs>
          <w:tab w:val="num" w:pos="5040"/>
        </w:tabs>
        <w:ind w:left="5040" w:hanging="360"/>
      </w:pPr>
      <w:rPr>
        <w:rFonts w:ascii="Times New Roman" w:hAnsi="Times New Roman" w:hint="default"/>
      </w:rPr>
    </w:lvl>
    <w:lvl w:ilvl="7" w:tplc="DFF44D32" w:tentative="1">
      <w:start w:val="1"/>
      <w:numFmt w:val="bullet"/>
      <w:lvlText w:val="-"/>
      <w:lvlJc w:val="left"/>
      <w:pPr>
        <w:tabs>
          <w:tab w:val="num" w:pos="5760"/>
        </w:tabs>
        <w:ind w:left="5760" w:hanging="360"/>
      </w:pPr>
      <w:rPr>
        <w:rFonts w:ascii="Times New Roman" w:hAnsi="Times New Roman" w:hint="default"/>
      </w:rPr>
    </w:lvl>
    <w:lvl w:ilvl="8" w:tplc="EAEE2F8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F160A5"/>
    <w:multiLevelType w:val="hybridMultilevel"/>
    <w:tmpl w:val="6852880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4FBB7990"/>
    <w:multiLevelType w:val="hybridMultilevel"/>
    <w:tmpl w:val="C568B1E4"/>
    <w:lvl w:ilvl="0" w:tplc="04080007">
      <w:start w:val="1"/>
      <w:numFmt w:val="bullet"/>
      <w:lvlText w:val=""/>
      <w:lvlPicBulletId w:val="0"/>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4FC50C33"/>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825A36"/>
    <w:multiLevelType w:val="hybridMultilevel"/>
    <w:tmpl w:val="4A1C79FC"/>
    <w:lvl w:ilvl="0" w:tplc="35428462">
      <w:start w:val="1"/>
      <w:numFmt w:val="lowerLetter"/>
      <w:lvlText w:val="(%1)"/>
      <w:lvlJc w:val="left"/>
      <w:pPr>
        <w:ind w:left="720" w:hanging="360"/>
      </w:pPr>
      <w:rPr>
        <w:rFonts w:ascii="Times New Roman" w:hAnsi="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AAF2287"/>
    <w:multiLevelType w:val="hybridMultilevel"/>
    <w:tmpl w:val="7E1C675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F5749FD"/>
    <w:multiLevelType w:val="hybridMultilevel"/>
    <w:tmpl w:val="700AA0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60126CD9"/>
    <w:multiLevelType w:val="hybridMultilevel"/>
    <w:tmpl w:val="0644DF1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49869BC"/>
    <w:multiLevelType w:val="hybridMultilevel"/>
    <w:tmpl w:val="0656781E"/>
    <w:lvl w:ilvl="0" w:tplc="8EB89826">
      <w:start w:val="1"/>
      <w:numFmt w:val="decimal"/>
      <w:pStyle w:val="Heading1"/>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670E53BB"/>
    <w:multiLevelType w:val="hybridMultilevel"/>
    <w:tmpl w:val="D8327DBE"/>
    <w:lvl w:ilvl="0" w:tplc="611006FC">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59A6CF6"/>
    <w:multiLevelType w:val="hybridMultilevel"/>
    <w:tmpl w:val="B23E6C0E"/>
    <w:lvl w:ilvl="0" w:tplc="C00E9294">
      <w:start w:val="1"/>
      <w:numFmt w:val="bullet"/>
      <w:lvlText w:val="-"/>
      <w:lvlJc w:val="left"/>
      <w:pPr>
        <w:tabs>
          <w:tab w:val="num" w:pos="720"/>
        </w:tabs>
        <w:ind w:left="720" w:hanging="360"/>
      </w:pPr>
      <w:rPr>
        <w:rFonts w:ascii="Times New Roman" w:hAnsi="Times New Roman" w:hint="default"/>
      </w:rPr>
    </w:lvl>
    <w:lvl w:ilvl="1" w:tplc="B86A5BC0">
      <w:start w:val="1"/>
      <w:numFmt w:val="bullet"/>
      <w:lvlText w:val="-"/>
      <w:lvlJc w:val="left"/>
      <w:pPr>
        <w:tabs>
          <w:tab w:val="num" w:pos="1440"/>
        </w:tabs>
        <w:ind w:left="1440" w:hanging="360"/>
      </w:pPr>
      <w:rPr>
        <w:rFonts w:ascii="Times New Roman" w:hAnsi="Times New Roman" w:hint="default"/>
      </w:rPr>
    </w:lvl>
    <w:lvl w:ilvl="2" w:tplc="3B34CDFE" w:tentative="1">
      <w:start w:val="1"/>
      <w:numFmt w:val="bullet"/>
      <w:lvlText w:val="-"/>
      <w:lvlJc w:val="left"/>
      <w:pPr>
        <w:tabs>
          <w:tab w:val="num" w:pos="2160"/>
        </w:tabs>
        <w:ind w:left="2160" w:hanging="360"/>
      </w:pPr>
      <w:rPr>
        <w:rFonts w:ascii="Times New Roman" w:hAnsi="Times New Roman" w:hint="default"/>
      </w:rPr>
    </w:lvl>
    <w:lvl w:ilvl="3" w:tplc="075A6960" w:tentative="1">
      <w:start w:val="1"/>
      <w:numFmt w:val="bullet"/>
      <w:lvlText w:val="-"/>
      <w:lvlJc w:val="left"/>
      <w:pPr>
        <w:tabs>
          <w:tab w:val="num" w:pos="2880"/>
        </w:tabs>
        <w:ind w:left="2880" w:hanging="360"/>
      </w:pPr>
      <w:rPr>
        <w:rFonts w:ascii="Times New Roman" w:hAnsi="Times New Roman" w:hint="default"/>
      </w:rPr>
    </w:lvl>
    <w:lvl w:ilvl="4" w:tplc="DDA0033C" w:tentative="1">
      <w:start w:val="1"/>
      <w:numFmt w:val="bullet"/>
      <w:lvlText w:val="-"/>
      <w:lvlJc w:val="left"/>
      <w:pPr>
        <w:tabs>
          <w:tab w:val="num" w:pos="3600"/>
        </w:tabs>
        <w:ind w:left="3600" w:hanging="360"/>
      </w:pPr>
      <w:rPr>
        <w:rFonts w:ascii="Times New Roman" w:hAnsi="Times New Roman" w:hint="default"/>
      </w:rPr>
    </w:lvl>
    <w:lvl w:ilvl="5" w:tplc="7AF0D1C4" w:tentative="1">
      <w:start w:val="1"/>
      <w:numFmt w:val="bullet"/>
      <w:lvlText w:val="-"/>
      <w:lvlJc w:val="left"/>
      <w:pPr>
        <w:tabs>
          <w:tab w:val="num" w:pos="4320"/>
        </w:tabs>
        <w:ind w:left="4320" w:hanging="360"/>
      </w:pPr>
      <w:rPr>
        <w:rFonts w:ascii="Times New Roman" w:hAnsi="Times New Roman" w:hint="default"/>
      </w:rPr>
    </w:lvl>
    <w:lvl w:ilvl="6" w:tplc="EACE7E72" w:tentative="1">
      <w:start w:val="1"/>
      <w:numFmt w:val="bullet"/>
      <w:lvlText w:val="-"/>
      <w:lvlJc w:val="left"/>
      <w:pPr>
        <w:tabs>
          <w:tab w:val="num" w:pos="5040"/>
        </w:tabs>
        <w:ind w:left="5040" w:hanging="360"/>
      </w:pPr>
      <w:rPr>
        <w:rFonts w:ascii="Times New Roman" w:hAnsi="Times New Roman" w:hint="default"/>
      </w:rPr>
    </w:lvl>
    <w:lvl w:ilvl="7" w:tplc="4ABEE690" w:tentative="1">
      <w:start w:val="1"/>
      <w:numFmt w:val="bullet"/>
      <w:lvlText w:val="-"/>
      <w:lvlJc w:val="left"/>
      <w:pPr>
        <w:tabs>
          <w:tab w:val="num" w:pos="5760"/>
        </w:tabs>
        <w:ind w:left="5760" w:hanging="360"/>
      </w:pPr>
      <w:rPr>
        <w:rFonts w:ascii="Times New Roman" w:hAnsi="Times New Roman" w:hint="default"/>
      </w:rPr>
    </w:lvl>
    <w:lvl w:ilvl="8" w:tplc="E096923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E5A09FA"/>
    <w:multiLevelType w:val="hybridMultilevel"/>
    <w:tmpl w:val="D760196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4985347">
    <w:abstractNumId w:val="2"/>
  </w:num>
  <w:num w:numId="2" w16cid:durableId="42757477">
    <w:abstractNumId w:val="8"/>
  </w:num>
  <w:num w:numId="3" w16cid:durableId="1979265089">
    <w:abstractNumId w:val="0"/>
  </w:num>
  <w:num w:numId="4" w16cid:durableId="2023774678">
    <w:abstractNumId w:val="19"/>
  </w:num>
  <w:num w:numId="5" w16cid:durableId="1277829708">
    <w:abstractNumId w:val="2"/>
  </w:num>
  <w:num w:numId="6" w16cid:durableId="1810828906">
    <w:abstractNumId w:val="2"/>
    <w:lvlOverride w:ilvl="0">
      <w:startOverride w:val="1"/>
    </w:lvlOverride>
  </w:num>
  <w:num w:numId="7" w16cid:durableId="17853269">
    <w:abstractNumId w:val="2"/>
    <w:lvlOverride w:ilvl="0">
      <w:startOverride w:val="1"/>
    </w:lvlOverride>
  </w:num>
  <w:num w:numId="8" w16cid:durableId="1374232241">
    <w:abstractNumId w:val="2"/>
    <w:lvlOverride w:ilvl="0">
      <w:startOverride w:val="1"/>
    </w:lvlOverride>
  </w:num>
  <w:num w:numId="9" w16cid:durableId="1702708243">
    <w:abstractNumId w:val="16"/>
  </w:num>
  <w:num w:numId="10" w16cid:durableId="2074504643">
    <w:abstractNumId w:val="5"/>
  </w:num>
  <w:num w:numId="11" w16cid:durableId="2053073092">
    <w:abstractNumId w:val="9"/>
  </w:num>
  <w:num w:numId="12" w16cid:durableId="1576358159">
    <w:abstractNumId w:val="19"/>
  </w:num>
  <w:num w:numId="13" w16cid:durableId="734739065">
    <w:abstractNumId w:val="19"/>
  </w:num>
  <w:num w:numId="14" w16cid:durableId="1699969571">
    <w:abstractNumId w:val="19"/>
  </w:num>
  <w:num w:numId="15" w16cid:durableId="2057780847">
    <w:abstractNumId w:val="19"/>
  </w:num>
  <w:num w:numId="16" w16cid:durableId="808016924">
    <w:abstractNumId w:val="19"/>
  </w:num>
  <w:num w:numId="17" w16cid:durableId="385761212">
    <w:abstractNumId w:val="4"/>
  </w:num>
  <w:num w:numId="18" w16cid:durableId="71661547">
    <w:abstractNumId w:val="14"/>
  </w:num>
  <w:num w:numId="19" w16cid:durableId="519780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8690456">
    <w:abstractNumId w:val="10"/>
  </w:num>
  <w:num w:numId="21" w16cid:durableId="218521035">
    <w:abstractNumId w:val="7"/>
  </w:num>
  <w:num w:numId="22" w16cid:durableId="1906988350">
    <w:abstractNumId w:val="2"/>
    <w:lvlOverride w:ilvl="0">
      <w:startOverride w:val="1"/>
    </w:lvlOverride>
  </w:num>
  <w:num w:numId="23" w16cid:durableId="2034845154">
    <w:abstractNumId w:val="2"/>
  </w:num>
  <w:num w:numId="24" w16cid:durableId="534654435">
    <w:abstractNumId w:val="2"/>
  </w:num>
  <w:num w:numId="25" w16cid:durableId="484325969">
    <w:abstractNumId w:val="2"/>
    <w:lvlOverride w:ilvl="0">
      <w:startOverride w:val="1"/>
    </w:lvlOverride>
  </w:num>
  <w:num w:numId="26" w16cid:durableId="1699970743">
    <w:abstractNumId w:val="21"/>
  </w:num>
  <w:num w:numId="27" w16cid:durableId="253706839">
    <w:abstractNumId w:val="11"/>
  </w:num>
  <w:num w:numId="28" w16cid:durableId="2125684138">
    <w:abstractNumId w:val="18"/>
  </w:num>
  <w:num w:numId="29" w16cid:durableId="1945459017">
    <w:abstractNumId w:val="22"/>
  </w:num>
  <w:num w:numId="30" w16cid:durableId="1086195657">
    <w:abstractNumId w:val="15"/>
  </w:num>
  <w:num w:numId="31" w16cid:durableId="1521166623">
    <w:abstractNumId w:val="19"/>
  </w:num>
  <w:num w:numId="32" w16cid:durableId="2014067874">
    <w:abstractNumId w:val="12"/>
  </w:num>
  <w:num w:numId="33" w16cid:durableId="1316766232">
    <w:abstractNumId w:val="2"/>
  </w:num>
  <w:num w:numId="34" w16cid:durableId="1473980685">
    <w:abstractNumId w:val="13"/>
  </w:num>
  <w:num w:numId="35" w16cid:durableId="625937550">
    <w:abstractNumId w:val="6"/>
  </w:num>
  <w:num w:numId="36" w16cid:durableId="788208740">
    <w:abstractNumId w:val="20"/>
  </w:num>
  <w:num w:numId="37" w16cid:durableId="1230581427">
    <w:abstractNumId w:val="17"/>
  </w:num>
  <w:num w:numId="38" w16cid:durableId="426973559">
    <w:abstractNumId w:val="1"/>
  </w:num>
  <w:num w:numId="39" w16cid:durableId="941306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BA"/>
    <w:rsid w:val="00000BF7"/>
    <w:rsid w:val="00002D44"/>
    <w:rsid w:val="00007B0A"/>
    <w:rsid w:val="00011848"/>
    <w:rsid w:val="000126DB"/>
    <w:rsid w:val="00012A25"/>
    <w:rsid w:val="00014E06"/>
    <w:rsid w:val="000164EB"/>
    <w:rsid w:val="00021F2A"/>
    <w:rsid w:val="00022C44"/>
    <w:rsid w:val="0002520A"/>
    <w:rsid w:val="000270BC"/>
    <w:rsid w:val="000300BA"/>
    <w:rsid w:val="00030FC1"/>
    <w:rsid w:val="0003208F"/>
    <w:rsid w:val="000323F5"/>
    <w:rsid w:val="00036F32"/>
    <w:rsid w:val="000376FC"/>
    <w:rsid w:val="00040384"/>
    <w:rsid w:val="00041EBA"/>
    <w:rsid w:val="000433F1"/>
    <w:rsid w:val="00043533"/>
    <w:rsid w:val="00044FCD"/>
    <w:rsid w:val="00046D76"/>
    <w:rsid w:val="0005021B"/>
    <w:rsid w:val="00051208"/>
    <w:rsid w:val="0005594E"/>
    <w:rsid w:val="000572F2"/>
    <w:rsid w:val="000577F3"/>
    <w:rsid w:val="000639FF"/>
    <w:rsid w:val="00063E07"/>
    <w:rsid w:val="00065EC6"/>
    <w:rsid w:val="0006644A"/>
    <w:rsid w:val="00067AD3"/>
    <w:rsid w:val="000771AF"/>
    <w:rsid w:val="000779A4"/>
    <w:rsid w:val="00077C4D"/>
    <w:rsid w:val="000821C0"/>
    <w:rsid w:val="00083E4D"/>
    <w:rsid w:val="00091B66"/>
    <w:rsid w:val="0009250E"/>
    <w:rsid w:val="00095EEF"/>
    <w:rsid w:val="00096F6B"/>
    <w:rsid w:val="0009748E"/>
    <w:rsid w:val="000A0A97"/>
    <w:rsid w:val="000A119D"/>
    <w:rsid w:val="000A1755"/>
    <w:rsid w:val="000A3F52"/>
    <w:rsid w:val="000A5779"/>
    <w:rsid w:val="000A5D9B"/>
    <w:rsid w:val="000B1745"/>
    <w:rsid w:val="000B73E1"/>
    <w:rsid w:val="000C12D6"/>
    <w:rsid w:val="000C1678"/>
    <w:rsid w:val="000C1D6B"/>
    <w:rsid w:val="000C3CEF"/>
    <w:rsid w:val="000C4A34"/>
    <w:rsid w:val="000D15E0"/>
    <w:rsid w:val="000D3006"/>
    <w:rsid w:val="000D5D17"/>
    <w:rsid w:val="000D5EAA"/>
    <w:rsid w:val="000E0046"/>
    <w:rsid w:val="000E184F"/>
    <w:rsid w:val="000E1DD8"/>
    <w:rsid w:val="000E25F0"/>
    <w:rsid w:val="000E2BFE"/>
    <w:rsid w:val="000E34EC"/>
    <w:rsid w:val="000E35E5"/>
    <w:rsid w:val="000E3E71"/>
    <w:rsid w:val="000E3F4B"/>
    <w:rsid w:val="000E3FFD"/>
    <w:rsid w:val="000E4FA0"/>
    <w:rsid w:val="000E7B1E"/>
    <w:rsid w:val="000E7E1E"/>
    <w:rsid w:val="000F1F24"/>
    <w:rsid w:val="000F3F4F"/>
    <w:rsid w:val="000F5F6E"/>
    <w:rsid w:val="000F6943"/>
    <w:rsid w:val="000F722D"/>
    <w:rsid w:val="000F7918"/>
    <w:rsid w:val="00100E67"/>
    <w:rsid w:val="00104A4D"/>
    <w:rsid w:val="00104A86"/>
    <w:rsid w:val="00104C73"/>
    <w:rsid w:val="00106758"/>
    <w:rsid w:val="00107A63"/>
    <w:rsid w:val="0011323F"/>
    <w:rsid w:val="0011471A"/>
    <w:rsid w:val="00116637"/>
    <w:rsid w:val="00120892"/>
    <w:rsid w:val="001225AA"/>
    <w:rsid w:val="00122807"/>
    <w:rsid w:val="00122D7D"/>
    <w:rsid w:val="00122FFB"/>
    <w:rsid w:val="00127072"/>
    <w:rsid w:val="0012753A"/>
    <w:rsid w:val="00130C60"/>
    <w:rsid w:val="0013105F"/>
    <w:rsid w:val="001346EC"/>
    <w:rsid w:val="00135601"/>
    <w:rsid w:val="00135EAB"/>
    <w:rsid w:val="001412EA"/>
    <w:rsid w:val="00141945"/>
    <w:rsid w:val="00144916"/>
    <w:rsid w:val="00145909"/>
    <w:rsid w:val="00150608"/>
    <w:rsid w:val="0015534E"/>
    <w:rsid w:val="00156451"/>
    <w:rsid w:val="0016089D"/>
    <w:rsid w:val="00160EFA"/>
    <w:rsid w:val="00161821"/>
    <w:rsid w:val="00162C3F"/>
    <w:rsid w:val="00165215"/>
    <w:rsid w:val="00165988"/>
    <w:rsid w:val="001659BA"/>
    <w:rsid w:val="00166E50"/>
    <w:rsid w:val="00167F2B"/>
    <w:rsid w:val="00170536"/>
    <w:rsid w:val="00171560"/>
    <w:rsid w:val="00171C79"/>
    <w:rsid w:val="001778E0"/>
    <w:rsid w:val="00180D7F"/>
    <w:rsid w:val="001813D7"/>
    <w:rsid w:val="001814AB"/>
    <w:rsid w:val="00181799"/>
    <w:rsid w:val="00181AD0"/>
    <w:rsid w:val="00184EE3"/>
    <w:rsid w:val="00186B9E"/>
    <w:rsid w:val="00190B2C"/>
    <w:rsid w:val="00191EFF"/>
    <w:rsid w:val="0019445D"/>
    <w:rsid w:val="00195ED6"/>
    <w:rsid w:val="00196025"/>
    <w:rsid w:val="00196B70"/>
    <w:rsid w:val="001A0639"/>
    <w:rsid w:val="001B224D"/>
    <w:rsid w:val="001B24FE"/>
    <w:rsid w:val="001B4E21"/>
    <w:rsid w:val="001C2BEE"/>
    <w:rsid w:val="001C38E8"/>
    <w:rsid w:val="001C4F4E"/>
    <w:rsid w:val="001C5BD7"/>
    <w:rsid w:val="001D05B1"/>
    <w:rsid w:val="001D15E3"/>
    <w:rsid w:val="001D39C0"/>
    <w:rsid w:val="001D4AB5"/>
    <w:rsid w:val="001D5586"/>
    <w:rsid w:val="001E2A93"/>
    <w:rsid w:val="001E322E"/>
    <w:rsid w:val="001E5672"/>
    <w:rsid w:val="001E7E21"/>
    <w:rsid w:val="001F1C15"/>
    <w:rsid w:val="001F4D05"/>
    <w:rsid w:val="00200B39"/>
    <w:rsid w:val="00201359"/>
    <w:rsid w:val="00203CEC"/>
    <w:rsid w:val="00205033"/>
    <w:rsid w:val="00206B40"/>
    <w:rsid w:val="00207730"/>
    <w:rsid w:val="002114E0"/>
    <w:rsid w:val="00211D2F"/>
    <w:rsid w:val="00214C27"/>
    <w:rsid w:val="00217207"/>
    <w:rsid w:val="002202F4"/>
    <w:rsid w:val="0022031F"/>
    <w:rsid w:val="002205D9"/>
    <w:rsid w:val="00222E80"/>
    <w:rsid w:val="00223490"/>
    <w:rsid w:val="002235AC"/>
    <w:rsid w:val="0022373D"/>
    <w:rsid w:val="002238CB"/>
    <w:rsid w:val="00224864"/>
    <w:rsid w:val="00230967"/>
    <w:rsid w:val="00232F85"/>
    <w:rsid w:val="0023372F"/>
    <w:rsid w:val="00236AA6"/>
    <w:rsid w:val="00237303"/>
    <w:rsid w:val="0024137C"/>
    <w:rsid w:val="0024199A"/>
    <w:rsid w:val="00244A16"/>
    <w:rsid w:val="00244E0F"/>
    <w:rsid w:val="00254A98"/>
    <w:rsid w:val="0025592D"/>
    <w:rsid w:val="00261CFC"/>
    <w:rsid w:val="00263297"/>
    <w:rsid w:val="0026329E"/>
    <w:rsid w:val="00263A2B"/>
    <w:rsid w:val="002658AF"/>
    <w:rsid w:val="002722AB"/>
    <w:rsid w:val="00272EDF"/>
    <w:rsid w:val="00274E30"/>
    <w:rsid w:val="00284306"/>
    <w:rsid w:val="00286996"/>
    <w:rsid w:val="00290931"/>
    <w:rsid w:val="00290DD9"/>
    <w:rsid w:val="00293672"/>
    <w:rsid w:val="00294019"/>
    <w:rsid w:val="00294B7E"/>
    <w:rsid w:val="00296C48"/>
    <w:rsid w:val="00297D6B"/>
    <w:rsid w:val="002A2B13"/>
    <w:rsid w:val="002A65F9"/>
    <w:rsid w:val="002A74BE"/>
    <w:rsid w:val="002B0249"/>
    <w:rsid w:val="002B0A14"/>
    <w:rsid w:val="002B1BEB"/>
    <w:rsid w:val="002B29C9"/>
    <w:rsid w:val="002B2D83"/>
    <w:rsid w:val="002B34A5"/>
    <w:rsid w:val="002B73CF"/>
    <w:rsid w:val="002B76B7"/>
    <w:rsid w:val="002C1C81"/>
    <w:rsid w:val="002C3AC1"/>
    <w:rsid w:val="002D2159"/>
    <w:rsid w:val="002D24C0"/>
    <w:rsid w:val="002D24D2"/>
    <w:rsid w:val="002D439D"/>
    <w:rsid w:val="002D4F08"/>
    <w:rsid w:val="002D6A76"/>
    <w:rsid w:val="002D7186"/>
    <w:rsid w:val="002E1E90"/>
    <w:rsid w:val="002E227A"/>
    <w:rsid w:val="002E3D9E"/>
    <w:rsid w:val="002E4DF4"/>
    <w:rsid w:val="002F17A4"/>
    <w:rsid w:val="002F2F64"/>
    <w:rsid w:val="002F7E52"/>
    <w:rsid w:val="0030289B"/>
    <w:rsid w:val="00306AEE"/>
    <w:rsid w:val="00314CDD"/>
    <w:rsid w:val="00317FAC"/>
    <w:rsid w:val="00322662"/>
    <w:rsid w:val="00322FE6"/>
    <w:rsid w:val="00325A81"/>
    <w:rsid w:val="00326B15"/>
    <w:rsid w:val="00331354"/>
    <w:rsid w:val="00332004"/>
    <w:rsid w:val="00334C74"/>
    <w:rsid w:val="003371D8"/>
    <w:rsid w:val="00337D3D"/>
    <w:rsid w:val="003418A7"/>
    <w:rsid w:val="00344BAE"/>
    <w:rsid w:val="00345E39"/>
    <w:rsid w:val="00347D32"/>
    <w:rsid w:val="0035363B"/>
    <w:rsid w:val="00354030"/>
    <w:rsid w:val="00354EE8"/>
    <w:rsid w:val="003566DB"/>
    <w:rsid w:val="00360CEE"/>
    <w:rsid w:val="00362DF9"/>
    <w:rsid w:val="00363D23"/>
    <w:rsid w:val="003643E4"/>
    <w:rsid w:val="00364AE4"/>
    <w:rsid w:val="00364D2E"/>
    <w:rsid w:val="003668F9"/>
    <w:rsid w:val="0037080F"/>
    <w:rsid w:val="00371B35"/>
    <w:rsid w:val="00374E0D"/>
    <w:rsid w:val="003802D1"/>
    <w:rsid w:val="0038192C"/>
    <w:rsid w:val="0038219B"/>
    <w:rsid w:val="00382A5F"/>
    <w:rsid w:val="00382ED2"/>
    <w:rsid w:val="003832F4"/>
    <w:rsid w:val="003835F5"/>
    <w:rsid w:val="00385950"/>
    <w:rsid w:val="00385B95"/>
    <w:rsid w:val="00386457"/>
    <w:rsid w:val="003877BC"/>
    <w:rsid w:val="00393F77"/>
    <w:rsid w:val="00397ECC"/>
    <w:rsid w:val="003A0F96"/>
    <w:rsid w:val="003A2E28"/>
    <w:rsid w:val="003A4F3D"/>
    <w:rsid w:val="003A659E"/>
    <w:rsid w:val="003C0C9D"/>
    <w:rsid w:val="003C42A7"/>
    <w:rsid w:val="003C4713"/>
    <w:rsid w:val="003C5CF2"/>
    <w:rsid w:val="003C73D6"/>
    <w:rsid w:val="003D13BB"/>
    <w:rsid w:val="003D1857"/>
    <w:rsid w:val="003D1E63"/>
    <w:rsid w:val="003D1F49"/>
    <w:rsid w:val="003D3F6A"/>
    <w:rsid w:val="003D4998"/>
    <w:rsid w:val="003D49DD"/>
    <w:rsid w:val="003D5099"/>
    <w:rsid w:val="003D6582"/>
    <w:rsid w:val="003E5E65"/>
    <w:rsid w:val="003E5FFC"/>
    <w:rsid w:val="003F100C"/>
    <w:rsid w:val="003F5397"/>
    <w:rsid w:val="00400964"/>
    <w:rsid w:val="00401186"/>
    <w:rsid w:val="004014C4"/>
    <w:rsid w:val="004040DE"/>
    <w:rsid w:val="004050C5"/>
    <w:rsid w:val="0040742F"/>
    <w:rsid w:val="00411361"/>
    <w:rsid w:val="004118AB"/>
    <w:rsid w:val="00417BF8"/>
    <w:rsid w:val="00417C69"/>
    <w:rsid w:val="00421BB4"/>
    <w:rsid w:val="004242B0"/>
    <w:rsid w:val="00424F3C"/>
    <w:rsid w:val="0042655C"/>
    <w:rsid w:val="004267F5"/>
    <w:rsid w:val="00433C3D"/>
    <w:rsid w:val="00440BAA"/>
    <w:rsid w:val="00443316"/>
    <w:rsid w:val="00444FE3"/>
    <w:rsid w:val="00445AF8"/>
    <w:rsid w:val="0044732A"/>
    <w:rsid w:val="00450B18"/>
    <w:rsid w:val="004516AC"/>
    <w:rsid w:val="00453D22"/>
    <w:rsid w:val="0045593C"/>
    <w:rsid w:val="00456668"/>
    <w:rsid w:val="00457A30"/>
    <w:rsid w:val="00460723"/>
    <w:rsid w:val="00461110"/>
    <w:rsid w:val="00461B62"/>
    <w:rsid w:val="00462EFD"/>
    <w:rsid w:val="00463D5F"/>
    <w:rsid w:val="00464576"/>
    <w:rsid w:val="00465858"/>
    <w:rsid w:val="004679B5"/>
    <w:rsid w:val="004766DB"/>
    <w:rsid w:val="0047704C"/>
    <w:rsid w:val="0048500E"/>
    <w:rsid w:val="00485F70"/>
    <w:rsid w:val="004876B7"/>
    <w:rsid w:val="00487A1F"/>
    <w:rsid w:val="00491B25"/>
    <w:rsid w:val="004A0E15"/>
    <w:rsid w:val="004A166E"/>
    <w:rsid w:val="004A1C0E"/>
    <w:rsid w:val="004A2529"/>
    <w:rsid w:val="004A4B74"/>
    <w:rsid w:val="004B0860"/>
    <w:rsid w:val="004B1EA6"/>
    <w:rsid w:val="004B40E8"/>
    <w:rsid w:val="004B5DA4"/>
    <w:rsid w:val="004B6383"/>
    <w:rsid w:val="004B7558"/>
    <w:rsid w:val="004C05EF"/>
    <w:rsid w:val="004C1506"/>
    <w:rsid w:val="004C4263"/>
    <w:rsid w:val="004C4C31"/>
    <w:rsid w:val="004C5C9A"/>
    <w:rsid w:val="004C7CFA"/>
    <w:rsid w:val="004D06A9"/>
    <w:rsid w:val="004D07FA"/>
    <w:rsid w:val="004D33D0"/>
    <w:rsid w:val="004D4145"/>
    <w:rsid w:val="004D45CE"/>
    <w:rsid w:val="004D4827"/>
    <w:rsid w:val="004D7711"/>
    <w:rsid w:val="004E34FF"/>
    <w:rsid w:val="004E42E4"/>
    <w:rsid w:val="004E576A"/>
    <w:rsid w:val="004E6013"/>
    <w:rsid w:val="004F1192"/>
    <w:rsid w:val="004F1776"/>
    <w:rsid w:val="004F4141"/>
    <w:rsid w:val="00501009"/>
    <w:rsid w:val="005061BE"/>
    <w:rsid w:val="0051066E"/>
    <w:rsid w:val="00512A2F"/>
    <w:rsid w:val="00514C1B"/>
    <w:rsid w:val="005158E2"/>
    <w:rsid w:val="00516CC3"/>
    <w:rsid w:val="00517689"/>
    <w:rsid w:val="005176CC"/>
    <w:rsid w:val="0052349A"/>
    <w:rsid w:val="00523C6F"/>
    <w:rsid w:val="00523E39"/>
    <w:rsid w:val="00526F8A"/>
    <w:rsid w:val="0053166A"/>
    <w:rsid w:val="00531878"/>
    <w:rsid w:val="005320FD"/>
    <w:rsid w:val="00532BC9"/>
    <w:rsid w:val="00533941"/>
    <w:rsid w:val="00534508"/>
    <w:rsid w:val="00535BAE"/>
    <w:rsid w:val="00536116"/>
    <w:rsid w:val="005441B4"/>
    <w:rsid w:val="00547EEE"/>
    <w:rsid w:val="005517AD"/>
    <w:rsid w:val="005518D4"/>
    <w:rsid w:val="0055311D"/>
    <w:rsid w:val="00554B83"/>
    <w:rsid w:val="0055503F"/>
    <w:rsid w:val="00555DFF"/>
    <w:rsid w:val="00561F39"/>
    <w:rsid w:val="005647DB"/>
    <w:rsid w:val="00572BAB"/>
    <w:rsid w:val="005839C4"/>
    <w:rsid w:val="00590447"/>
    <w:rsid w:val="005905B6"/>
    <w:rsid w:val="00590DEC"/>
    <w:rsid w:val="00591697"/>
    <w:rsid w:val="00591894"/>
    <w:rsid w:val="005947B1"/>
    <w:rsid w:val="00595E76"/>
    <w:rsid w:val="00596ECB"/>
    <w:rsid w:val="005971C2"/>
    <w:rsid w:val="00597D77"/>
    <w:rsid w:val="005A0E4B"/>
    <w:rsid w:val="005A11E5"/>
    <w:rsid w:val="005A1764"/>
    <w:rsid w:val="005A1C92"/>
    <w:rsid w:val="005A2014"/>
    <w:rsid w:val="005A4F60"/>
    <w:rsid w:val="005A4F71"/>
    <w:rsid w:val="005A5E8E"/>
    <w:rsid w:val="005A5FEE"/>
    <w:rsid w:val="005A64AF"/>
    <w:rsid w:val="005B1E30"/>
    <w:rsid w:val="005B5890"/>
    <w:rsid w:val="005B6E8B"/>
    <w:rsid w:val="005B7F71"/>
    <w:rsid w:val="005C0363"/>
    <w:rsid w:val="005C1000"/>
    <w:rsid w:val="005C174F"/>
    <w:rsid w:val="005C57DF"/>
    <w:rsid w:val="005C75D7"/>
    <w:rsid w:val="005D22DA"/>
    <w:rsid w:val="005D6F2D"/>
    <w:rsid w:val="005E06A3"/>
    <w:rsid w:val="005E1190"/>
    <w:rsid w:val="005E3E5C"/>
    <w:rsid w:val="005E4735"/>
    <w:rsid w:val="0060127A"/>
    <w:rsid w:val="00601586"/>
    <w:rsid w:val="00607C70"/>
    <w:rsid w:val="006148E6"/>
    <w:rsid w:val="0062005C"/>
    <w:rsid w:val="0062291E"/>
    <w:rsid w:val="0062570C"/>
    <w:rsid w:val="00626AA1"/>
    <w:rsid w:val="0063141D"/>
    <w:rsid w:val="00632103"/>
    <w:rsid w:val="006327BA"/>
    <w:rsid w:val="00634153"/>
    <w:rsid w:val="00635181"/>
    <w:rsid w:val="006412E2"/>
    <w:rsid w:val="006419FC"/>
    <w:rsid w:val="00647DF3"/>
    <w:rsid w:val="00650EBE"/>
    <w:rsid w:val="00657AE8"/>
    <w:rsid w:val="0066188F"/>
    <w:rsid w:val="00661E5C"/>
    <w:rsid w:val="006625A4"/>
    <w:rsid w:val="0066498B"/>
    <w:rsid w:val="006667AB"/>
    <w:rsid w:val="00672044"/>
    <w:rsid w:val="00672612"/>
    <w:rsid w:val="00674CDA"/>
    <w:rsid w:val="006750EE"/>
    <w:rsid w:val="0067610E"/>
    <w:rsid w:val="00680E74"/>
    <w:rsid w:val="006810C4"/>
    <w:rsid w:val="00686DF5"/>
    <w:rsid w:val="00687AB8"/>
    <w:rsid w:val="006A146B"/>
    <w:rsid w:val="006A25C3"/>
    <w:rsid w:val="006B13EE"/>
    <w:rsid w:val="006B1E19"/>
    <w:rsid w:val="006B275C"/>
    <w:rsid w:val="006B68BD"/>
    <w:rsid w:val="006C112C"/>
    <w:rsid w:val="006C1994"/>
    <w:rsid w:val="006C1BCD"/>
    <w:rsid w:val="006C291F"/>
    <w:rsid w:val="006C2C09"/>
    <w:rsid w:val="006C4F25"/>
    <w:rsid w:val="006C5213"/>
    <w:rsid w:val="006C6CB0"/>
    <w:rsid w:val="006D0BBB"/>
    <w:rsid w:val="006D208C"/>
    <w:rsid w:val="006D3E84"/>
    <w:rsid w:val="006D4CD2"/>
    <w:rsid w:val="006D58AE"/>
    <w:rsid w:val="006D7687"/>
    <w:rsid w:val="006E12B2"/>
    <w:rsid w:val="006E2DE8"/>
    <w:rsid w:val="006E2FC4"/>
    <w:rsid w:val="006E56CD"/>
    <w:rsid w:val="006E66BA"/>
    <w:rsid w:val="006E674F"/>
    <w:rsid w:val="006E7051"/>
    <w:rsid w:val="006E7617"/>
    <w:rsid w:val="006F0B0C"/>
    <w:rsid w:val="006F123F"/>
    <w:rsid w:val="006F3D9B"/>
    <w:rsid w:val="006F4747"/>
    <w:rsid w:val="006F5628"/>
    <w:rsid w:val="006F63D1"/>
    <w:rsid w:val="006F6522"/>
    <w:rsid w:val="006F715B"/>
    <w:rsid w:val="006F743F"/>
    <w:rsid w:val="00701E68"/>
    <w:rsid w:val="007036C9"/>
    <w:rsid w:val="007040FA"/>
    <w:rsid w:val="00704BDA"/>
    <w:rsid w:val="00706EA4"/>
    <w:rsid w:val="00712C2B"/>
    <w:rsid w:val="00712F34"/>
    <w:rsid w:val="00714A03"/>
    <w:rsid w:val="00715896"/>
    <w:rsid w:val="00716213"/>
    <w:rsid w:val="00717BF3"/>
    <w:rsid w:val="00717E9E"/>
    <w:rsid w:val="007226B4"/>
    <w:rsid w:val="00722EE5"/>
    <w:rsid w:val="00722F4B"/>
    <w:rsid w:val="00724AC6"/>
    <w:rsid w:val="007372CB"/>
    <w:rsid w:val="0074050F"/>
    <w:rsid w:val="00740756"/>
    <w:rsid w:val="00742D56"/>
    <w:rsid w:val="0074401F"/>
    <w:rsid w:val="0074430F"/>
    <w:rsid w:val="00746B1F"/>
    <w:rsid w:val="00753555"/>
    <w:rsid w:val="00753F16"/>
    <w:rsid w:val="00760F3B"/>
    <w:rsid w:val="00763B83"/>
    <w:rsid w:val="0077185A"/>
    <w:rsid w:val="00771D5E"/>
    <w:rsid w:val="0077294E"/>
    <w:rsid w:val="00777537"/>
    <w:rsid w:val="00783871"/>
    <w:rsid w:val="007858E5"/>
    <w:rsid w:val="007867D1"/>
    <w:rsid w:val="007914E1"/>
    <w:rsid w:val="00793436"/>
    <w:rsid w:val="007A0151"/>
    <w:rsid w:val="007A161B"/>
    <w:rsid w:val="007A2236"/>
    <w:rsid w:val="007A2FF0"/>
    <w:rsid w:val="007A730E"/>
    <w:rsid w:val="007B27A4"/>
    <w:rsid w:val="007B488E"/>
    <w:rsid w:val="007B64E6"/>
    <w:rsid w:val="007C11EE"/>
    <w:rsid w:val="007C14BC"/>
    <w:rsid w:val="007C1AF5"/>
    <w:rsid w:val="007C6793"/>
    <w:rsid w:val="007D23A6"/>
    <w:rsid w:val="007D3A1B"/>
    <w:rsid w:val="007D6320"/>
    <w:rsid w:val="007D6FA8"/>
    <w:rsid w:val="007D7978"/>
    <w:rsid w:val="007E0172"/>
    <w:rsid w:val="007E15E8"/>
    <w:rsid w:val="007E15F0"/>
    <w:rsid w:val="007E3102"/>
    <w:rsid w:val="007E766F"/>
    <w:rsid w:val="007F03CD"/>
    <w:rsid w:val="007F4979"/>
    <w:rsid w:val="007F5CB8"/>
    <w:rsid w:val="008022AF"/>
    <w:rsid w:val="0080309D"/>
    <w:rsid w:val="00805A48"/>
    <w:rsid w:val="00806040"/>
    <w:rsid w:val="008107D3"/>
    <w:rsid w:val="00810FBF"/>
    <w:rsid w:val="00813DB4"/>
    <w:rsid w:val="0081596B"/>
    <w:rsid w:val="008165E4"/>
    <w:rsid w:val="008207B7"/>
    <w:rsid w:val="0082125E"/>
    <w:rsid w:val="00823460"/>
    <w:rsid w:val="00823B94"/>
    <w:rsid w:val="00825D44"/>
    <w:rsid w:val="0082766C"/>
    <w:rsid w:val="00830213"/>
    <w:rsid w:val="008312CB"/>
    <w:rsid w:val="00832550"/>
    <w:rsid w:val="00834767"/>
    <w:rsid w:val="008408BA"/>
    <w:rsid w:val="008421D6"/>
    <w:rsid w:val="008446B2"/>
    <w:rsid w:val="00844738"/>
    <w:rsid w:val="00845DF8"/>
    <w:rsid w:val="00850EF0"/>
    <w:rsid w:val="00851779"/>
    <w:rsid w:val="00852967"/>
    <w:rsid w:val="00854B30"/>
    <w:rsid w:val="00857D69"/>
    <w:rsid w:val="00862A50"/>
    <w:rsid w:val="0086564B"/>
    <w:rsid w:val="00865DEC"/>
    <w:rsid w:val="00866148"/>
    <w:rsid w:val="008702D2"/>
    <w:rsid w:val="0087154F"/>
    <w:rsid w:val="008720EB"/>
    <w:rsid w:val="0087348C"/>
    <w:rsid w:val="00874533"/>
    <w:rsid w:val="0087476A"/>
    <w:rsid w:val="00874F9A"/>
    <w:rsid w:val="008760BB"/>
    <w:rsid w:val="00882FA6"/>
    <w:rsid w:val="00883629"/>
    <w:rsid w:val="00885EC9"/>
    <w:rsid w:val="008879AA"/>
    <w:rsid w:val="00890A74"/>
    <w:rsid w:val="00892739"/>
    <w:rsid w:val="00892FD4"/>
    <w:rsid w:val="00893315"/>
    <w:rsid w:val="00895CEE"/>
    <w:rsid w:val="008A002B"/>
    <w:rsid w:val="008A09E0"/>
    <w:rsid w:val="008A21DB"/>
    <w:rsid w:val="008A4B96"/>
    <w:rsid w:val="008A7D07"/>
    <w:rsid w:val="008B5D33"/>
    <w:rsid w:val="008C1523"/>
    <w:rsid w:val="008C3CA1"/>
    <w:rsid w:val="008C4750"/>
    <w:rsid w:val="008C4EE5"/>
    <w:rsid w:val="008C57DA"/>
    <w:rsid w:val="008C6617"/>
    <w:rsid w:val="008C7297"/>
    <w:rsid w:val="008C7468"/>
    <w:rsid w:val="008E55CF"/>
    <w:rsid w:val="008F48A9"/>
    <w:rsid w:val="008F4FE1"/>
    <w:rsid w:val="008F6080"/>
    <w:rsid w:val="008F6273"/>
    <w:rsid w:val="008F6886"/>
    <w:rsid w:val="008F6E6F"/>
    <w:rsid w:val="008F74DA"/>
    <w:rsid w:val="008F7A10"/>
    <w:rsid w:val="00906B2D"/>
    <w:rsid w:val="00911DEB"/>
    <w:rsid w:val="00912FCE"/>
    <w:rsid w:val="0091780A"/>
    <w:rsid w:val="00922806"/>
    <w:rsid w:val="00922E17"/>
    <w:rsid w:val="00923385"/>
    <w:rsid w:val="00930274"/>
    <w:rsid w:val="00930714"/>
    <w:rsid w:val="00930FBF"/>
    <w:rsid w:val="00932208"/>
    <w:rsid w:val="009329DA"/>
    <w:rsid w:val="00934405"/>
    <w:rsid w:val="00934520"/>
    <w:rsid w:val="00934A9F"/>
    <w:rsid w:val="00941EF2"/>
    <w:rsid w:val="00944CE6"/>
    <w:rsid w:val="0095245E"/>
    <w:rsid w:val="009545C5"/>
    <w:rsid w:val="00954C91"/>
    <w:rsid w:val="009557F6"/>
    <w:rsid w:val="009602B5"/>
    <w:rsid w:val="00965279"/>
    <w:rsid w:val="009679C9"/>
    <w:rsid w:val="00975498"/>
    <w:rsid w:val="0097699D"/>
    <w:rsid w:val="00980175"/>
    <w:rsid w:val="009814F8"/>
    <w:rsid w:val="00983FDD"/>
    <w:rsid w:val="00985489"/>
    <w:rsid w:val="00985BD0"/>
    <w:rsid w:val="00994531"/>
    <w:rsid w:val="009A7626"/>
    <w:rsid w:val="009B2884"/>
    <w:rsid w:val="009B4DF5"/>
    <w:rsid w:val="009B64D5"/>
    <w:rsid w:val="009C08DA"/>
    <w:rsid w:val="009C1730"/>
    <w:rsid w:val="009C3E61"/>
    <w:rsid w:val="009C4BD3"/>
    <w:rsid w:val="009D245F"/>
    <w:rsid w:val="009D27FC"/>
    <w:rsid w:val="009D55F8"/>
    <w:rsid w:val="009E0CD8"/>
    <w:rsid w:val="009E2B18"/>
    <w:rsid w:val="009E60C0"/>
    <w:rsid w:val="009E6FC5"/>
    <w:rsid w:val="009E7E4F"/>
    <w:rsid w:val="009F0747"/>
    <w:rsid w:val="009F4D76"/>
    <w:rsid w:val="00A011BE"/>
    <w:rsid w:val="00A02346"/>
    <w:rsid w:val="00A0299B"/>
    <w:rsid w:val="00A03860"/>
    <w:rsid w:val="00A136A7"/>
    <w:rsid w:val="00A16A6B"/>
    <w:rsid w:val="00A23871"/>
    <w:rsid w:val="00A2638C"/>
    <w:rsid w:val="00A30B9A"/>
    <w:rsid w:val="00A3149C"/>
    <w:rsid w:val="00A31AF5"/>
    <w:rsid w:val="00A32D86"/>
    <w:rsid w:val="00A331B1"/>
    <w:rsid w:val="00A3465D"/>
    <w:rsid w:val="00A37C93"/>
    <w:rsid w:val="00A401DD"/>
    <w:rsid w:val="00A424A6"/>
    <w:rsid w:val="00A44E58"/>
    <w:rsid w:val="00A45D31"/>
    <w:rsid w:val="00A47CF4"/>
    <w:rsid w:val="00A5190C"/>
    <w:rsid w:val="00A53465"/>
    <w:rsid w:val="00A576B2"/>
    <w:rsid w:val="00A6368E"/>
    <w:rsid w:val="00A65E45"/>
    <w:rsid w:val="00A72719"/>
    <w:rsid w:val="00A8159A"/>
    <w:rsid w:val="00A828A2"/>
    <w:rsid w:val="00A85E1A"/>
    <w:rsid w:val="00A90337"/>
    <w:rsid w:val="00A9057D"/>
    <w:rsid w:val="00A9261C"/>
    <w:rsid w:val="00A93550"/>
    <w:rsid w:val="00A96515"/>
    <w:rsid w:val="00A9764A"/>
    <w:rsid w:val="00AA660C"/>
    <w:rsid w:val="00AA73B7"/>
    <w:rsid w:val="00AB36C3"/>
    <w:rsid w:val="00AB544C"/>
    <w:rsid w:val="00AB6883"/>
    <w:rsid w:val="00AB763B"/>
    <w:rsid w:val="00AC2799"/>
    <w:rsid w:val="00AC2B64"/>
    <w:rsid w:val="00AC3FB5"/>
    <w:rsid w:val="00AC4440"/>
    <w:rsid w:val="00AC5138"/>
    <w:rsid w:val="00AC5520"/>
    <w:rsid w:val="00AD021D"/>
    <w:rsid w:val="00AD0FB7"/>
    <w:rsid w:val="00AD3414"/>
    <w:rsid w:val="00AD66EE"/>
    <w:rsid w:val="00AD738E"/>
    <w:rsid w:val="00AE0038"/>
    <w:rsid w:val="00AE0172"/>
    <w:rsid w:val="00AE0B3F"/>
    <w:rsid w:val="00AE0F0B"/>
    <w:rsid w:val="00AE4E9F"/>
    <w:rsid w:val="00AE7F59"/>
    <w:rsid w:val="00AF1DE5"/>
    <w:rsid w:val="00AF37B8"/>
    <w:rsid w:val="00AF38A8"/>
    <w:rsid w:val="00AF5C4A"/>
    <w:rsid w:val="00AF6C38"/>
    <w:rsid w:val="00B00E61"/>
    <w:rsid w:val="00B0659B"/>
    <w:rsid w:val="00B06B46"/>
    <w:rsid w:val="00B06FF8"/>
    <w:rsid w:val="00B077D2"/>
    <w:rsid w:val="00B07A05"/>
    <w:rsid w:val="00B13C66"/>
    <w:rsid w:val="00B20243"/>
    <w:rsid w:val="00B2245D"/>
    <w:rsid w:val="00B268B0"/>
    <w:rsid w:val="00B27E80"/>
    <w:rsid w:val="00B31F82"/>
    <w:rsid w:val="00B329EB"/>
    <w:rsid w:val="00B4293C"/>
    <w:rsid w:val="00B42FDB"/>
    <w:rsid w:val="00B432CA"/>
    <w:rsid w:val="00B447CA"/>
    <w:rsid w:val="00B45998"/>
    <w:rsid w:val="00B466C9"/>
    <w:rsid w:val="00B47BEC"/>
    <w:rsid w:val="00B52DFD"/>
    <w:rsid w:val="00B64953"/>
    <w:rsid w:val="00B65BCA"/>
    <w:rsid w:val="00B66E28"/>
    <w:rsid w:val="00B72DBC"/>
    <w:rsid w:val="00B734A3"/>
    <w:rsid w:val="00B8177E"/>
    <w:rsid w:val="00B81B73"/>
    <w:rsid w:val="00B85254"/>
    <w:rsid w:val="00B86E82"/>
    <w:rsid w:val="00B92D1F"/>
    <w:rsid w:val="00B95D83"/>
    <w:rsid w:val="00B96A5A"/>
    <w:rsid w:val="00B973C5"/>
    <w:rsid w:val="00B978E9"/>
    <w:rsid w:val="00BA07FC"/>
    <w:rsid w:val="00BA6D41"/>
    <w:rsid w:val="00BA6EB4"/>
    <w:rsid w:val="00BA737C"/>
    <w:rsid w:val="00BB5134"/>
    <w:rsid w:val="00BB5830"/>
    <w:rsid w:val="00BB6A7F"/>
    <w:rsid w:val="00BC26A8"/>
    <w:rsid w:val="00BC4F9F"/>
    <w:rsid w:val="00BD23A1"/>
    <w:rsid w:val="00BD32E4"/>
    <w:rsid w:val="00BD4BEB"/>
    <w:rsid w:val="00BD6127"/>
    <w:rsid w:val="00BD6917"/>
    <w:rsid w:val="00BD700D"/>
    <w:rsid w:val="00BD7619"/>
    <w:rsid w:val="00BE06B8"/>
    <w:rsid w:val="00BE0BDE"/>
    <w:rsid w:val="00BE4229"/>
    <w:rsid w:val="00BE609B"/>
    <w:rsid w:val="00BE6FDA"/>
    <w:rsid w:val="00BE7E22"/>
    <w:rsid w:val="00BF0BFE"/>
    <w:rsid w:val="00BF1650"/>
    <w:rsid w:val="00BF1CE3"/>
    <w:rsid w:val="00BF60CB"/>
    <w:rsid w:val="00BF6891"/>
    <w:rsid w:val="00BF787F"/>
    <w:rsid w:val="00C018C5"/>
    <w:rsid w:val="00C01CDF"/>
    <w:rsid w:val="00C02267"/>
    <w:rsid w:val="00C0380E"/>
    <w:rsid w:val="00C03A81"/>
    <w:rsid w:val="00C061C4"/>
    <w:rsid w:val="00C061E2"/>
    <w:rsid w:val="00C11F5A"/>
    <w:rsid w:val="00C1233C"/>
    <w:rsid w:val="00C13760"/>
    <w:rsid w:val="00C1545D"/>
    <w:rsid w:val="00C16E06"/>
    <w:rsid w:val="00C1730C"/>
    <w:rsid w:val="00C17324"/>
    <w:rsid w:val="00C2160E"/>
    <w:rsid w:val="00C23230"/>
    <w:rsid w:val="00C23F5D"/>
    <w:rsid w:val="00C26CDC"/>
    <w:rsid w:val="00C35976"/>
    <w:rsid w:val="00C368AD"/>
    <w:rsid w:val="00C37DEA"/>
    <w:rsid w:val="00C41BA5"/>
    <w:rsid w:val="00C436A0"/>
    <w:rsid w:val="00C4448A"/>
    <w:rsid w:val="00C45C34"/>
    <w:rsid w:val="00C46A42"/>
    <w:rsid w:val="00C51920"/>
    <w:rsid w:val="00C5314E"/>
    <w:rsid w:val="00C54A98"/>
    <w:rsid w:val="00C560DF"/>
    <w:rsid w:val="00C6014B"/>
    <w:rsid w:val="00C62753"/>
    <w:rsid w:val="00C62C68"/>
    <w:rsid w:val="00C63592"/>
    <w:rsid w:val="00C661FD"/>
    <w:rsid w:val="00C73E70"/>
    <w:rsid w:val="00C74304"/>
    <w:rsid w:val="00C76262"/>
    <w:rsid w:val="00C80614"/>
    <w:rsid w:val="00C8203F"/>
    <w:rsid w:val="00C86B79"/>
    <w:rsid w:val="00C953ED"/>
    <w:rsid w:val="00CA017B"/>
    <w:rsid w:val="00CA0798"/>
    <w:rsid w:val="00CA2996"/>
    <w:rsid w:val="00CA2BB5"/>
    <w:rsid w:val="00CA6282"/>
    <w:rsid w:val="00CA6EE8"/>
    <w:rsid w:val="00CA710A"/>
    <w:rsid w:val="00CB042C"/>
    <w:rsid w:val="00CB1020"/>
    <w:rsid w:val="00CB25D5"/>
    <w:rsid w:val="00CB34A4"/>
    <w:rsid w:val="00CB73B1"/>
    <w:rsid w:val="00CC01ED"/>
    <w:rsid w:val="00CC4F19"/>
    <w:rsid w:val="00CC6448"/>
    <w:rsid w:val="00CC6E66"/>
    <w:rsid w:val="00CC7C94"/>
    <w:rsid w:val="00CD2B9D"/>
    <w:rsid w:val="00CD6079"/>
    <w:rsid w:val="00CD610E"/>
    <w:rsid w:val="00CD7EA4"/>
    <w:rsid w:val="00CE30FD"/>
    <w:rsid w:val="00CE42FF"/>
    <w:rsid w:val="00CE477E"/>
    <w:rsid w:val="00CE4C19"/>
    <w:rsid w:val="00CE5AD0"/>
    <w:rsid w:val="00CE62C3"/>
    <w:rsid w:val="00CE6772"/>
    <w:rsid w:val="00CE6A5C"/>
    <w:rsid w:val="00CF08B6"/>
    <w:rsid w:val="00CF1FA7"/>
    <w:rsid w:val="00CF2ADD"/>
    <w:rsid w:val="00D00AF8"/>
    <w:rsid w:val="00D02355"/>
    <w:rsid w:val="00D03B56"/>
    <w:rsid w:val="00D0437A"/>
    <w:rsid w:val="00D04AE3"/>
    <w:rsid w:val="00D1113C"/>
    <w:rsid w:val="00D147E0"/>
    <w:rsid w:val="00D161AD"/>
    <w:rsid w:val="00D16ACB"/>
    <w:rsid w:val="00D17578"/>
    <w:rsid w:val="00D24B45"/>
    <w:rsid w:val="00D262BA"/>
    <w:rsid w:val="00D26398"/>
    <w:rsid w:val="00D26D14"/>
    <w:rsid w:val="00D2787B"/>
    <w:rsid w:val="00D31144"/>
    <w:rsid w:val="00D31537"/>
    <w:rsid w:val="00D339E0"/>
    <w:rsid w:val="00D34B6B"/>
    <w:rsid w:val="00D34BF0"/>
    <w:rsid w:val="00D35A0A"/>
    <w:rsid w:val="00D37AB6"/>
    <w:rsid w:val="00D404FD"/>
    <w:rsid w:val="00D41F89"/>
    <w:rsid w:val="00D44B68"/>
    <w:rsid w:val="00D44CF7"/>
    <w:rsid w:val="00D46099"/>
    <w:rsid w:val="00D47BBC"/>
    <w:rsid w:val="00D50E0F"/>
    <w:rsid w:val="00D50E5F"/>
    <w:rsid w:val="00D559FB"/>
    <w:rsid w:val="00D566D5"/>
    <w:rsid w:val="00D606CF"/>
    <w:rsid w:val="00D60F53"/>
    <w:rsid w:val="00D625C9"/>
    <w:rsid w:val="00D63014"/>
    <w:rsid w:val="00D63878"/>
    <w:rsid w:val="00D63F2F"/>
    <w:rsid w:val="00D6406B"/>
    <w:rsid w:val="00D67106"/>
    <w:rsid w:val="00D7057C"/>
    <w:rsid w:val="00D7098E"/>
    <w:rsid w:val="00D72A87"/>
    <w:rsid w:val="00D748A9"/>
    <w:rsid w:val="00D7525F"/>
    <w:rsid w:val="00D80BA3"/>
    <w:rsid w:val="00D8368F"/>
    <w:rsid w:val="00D83C90"/>
    <w:rsid w:val="00D84260"/>
    <w:rsid w:val="00D85C85"/>
    <w:rsid w:val="00D902A7"/>
    <w:rsid w:val="00D90744"/>
    <w:rsid w:val="00D92634"/>
    <w:rsid w:val="00D93AD3"/>
    <w:rsid w:val="00D9519A"/>
    <w:rsid w:val="00D95B88"/>
    <w:rsid w:val="00D96F6D"/>
    <w:rsid w:val="00D9754D"/>
    <w:rsid w:val="00D97ED8"/>
    <w:rsid w:val="00DA0D92"/>
    <w:rsid w:val="00DA1D99"/>
    <w:rsid w:val="00DA28E7"/>
    <w:rsid w:val="00DA7CEB"/>
    <w:rsid w:val="00DB148C"/>
    <w:rsid w:val="00DB456E"/>
    <w:rsid w:val="00DB4674"/>
    <w:rsid w:val="00DB4BA7"/>
    <w:rsid w:val="00DB69FD"/>
    <w:rsid w:val="00DB75BD"/>
    <w:rsid w:val="00DB7F77"/>
    <w:rsid w:val="00DC1C22"/>
    <w:rsid w:val="00DC1D92"/>
    <w:rsid w:val="00DC293E"/>
    <w:rsid w:val="00DC3E72"/>
    <w:rsid w:val="00DC5950"/>
    <w:rsid w:val="00DC7192"/>
    <w:rsid w:val="00DC7E1B"/>
    <w:rsid w:val="00DD1D08"/>
    <w:rsid w:val="00DE09D8"/>
    <w:rsid w:val="00DE11E1"/>
    <w:rsid w:val="00DE4B70"/>
    <w:rsid w:val="00DE6551"/>
    <w:rsid w:val="00DF4F29"/>
    <w:rsid w:val="00E02B75"/>
    <w:rsid w:val="00E03BE5"/>
    <w:rsid w:val="00E046D0"/>
    <w:rsid w:val="00E05E87"/>
    <w:rsid w:val="00E0746F"/>
    <w:rsid w:val="00E101D2"/>
    <w:rsid w:val="00E128D4"/>
    <w:rsid w:val="00E14EA4"/>
    <w:rsid w:val="00E1592A"/>
    <w:rsid w:val="00E15A14"/>
    <w:rsid w:val="00E15F23"/>
    <w:rsid w:val="00E17D5C"/>
    <w:rsid w:val="00E20D2A"/>
    <w:rsid w:val="00E226A2"/>
    <w:rsid w:val="00E236EE"/>
    <w:rsid w:val="00E27FB1"/>
    <w:rsid w:val="00E30177"/>
    <w:rsid w:val="00E30398"/>
    <w:rsid w:val="00E3164A"/>
    <w:rsid w:val="00E327DC"/>
    <w:rsid w:val="00E32B5F"/>
    <w:rsid w:val="00E32BC7"/>
    <w:rsid w:val="00E36603"/>
    <w:rsid w:val="00E36D1A"/>
    <w:rsid w:val="00E429FD"/>
    <w:rsid w:val="00E42EBD"/>
    <w:rsid w:val="00E47F7B"/>
    <w:rsid w:val="00E50817"/>
    <w:rsid w:val="00E543B6"/>
    <w:rsid w:val="00E544B8"/>
    <w:rsid w:val="00E5460E"/>
    <w:rsid w:val="00E55193"/>
    <w:rsid w:val="00E5648C"/>
    <w:rsid w:val="00E57C67"/>
    <w:rsid w:val="00E607C1"/>
    <w:rsid w:val="00E61B4A"/>
    <w:rsid w:val="00E61CA2"/>
    <w:rsid w:val="00E63B1A"/>
    <w:rsid w:val="00E63BB7"/>
    <w:rsid w:val="00E63D7B"/>
    <w:rsid w:val="00E65227"/>
    <w:rsid w:val="00E70273"/>
    <w:rsid w:val="00E7402F"/>
    <w:rsid w:val="00E75142"/>
    <w:rsid w:val="00E81877"/>
    <w:rsid w:val="00E82BDF"/>
    <w:rsid w:val="00E85340"/>
    <w:rsid w:val="00E854FF"/>
    <w:rsid w:val="00EA0951"/>
    <w:rsid w:val="00EA32BF"/>
    <w:rsid w:val="00EA5677"/>
    <w:rsid w:val="00EB0D2E"/>
    <w:rsid w:val="00EB1DB3"/>
    <w:rsid w:val="00EB2039"/>
    <w:rsid w:val="00EB23A5"/>
    <w:rsid w:val="00EB6077"/>
    <w:rsid w:val="00EB7950"/>
    <w:rsid w:val="00EB7A3D"/>
    <w:rsid w:val="00EC0D94"/>
    <w:rsid w:val="00EC206D"/>
    <w:rsid w:val="00ED579B"/>
    <w:rsid w:val="00ED6F1B"/>
    <w:rsid w:val="00EE0BA1"/>
    <w:rsid w:val="00EE26AC"/>
    <w:rsid w:val="00EE3E0C"/>
    <w:rsid w:val="00EE4190"/>
    <w:rsid w:val="00EF0B3C"/>
    <w:rsid w:val="00EF2421"/>
    <w:rsid w:val="00EF5C2C"/>
    <w:rsid w:val="00F030C9"/>
    <w:rsid w:val="00F03E68"/>
    <w:rsid w:val="00F05308"/>
    <w:rsid w:val="00F079A9"/>
    <w:rsid w:val="00F1044D"/>
    <w:rsid w:val="00F13262"/>
    <w:rsid w:val="00F14369"/>
    <w:rsid w:val="00F159FB"/>
    <w:rsid w:val="00F162A8"/>
    <w:rsid w:val="00F166FB"/>
    <w:rsid w:val="00F173D6"/>
    <w:rsid w:val="00F20AE1"/>
    <w:rsid w:val="00F2325E"/>
    <w:rsid w:val="00F23846"/>
    <w:rsid w:val="00F23F14"/>
    <w:rsid w:val="00F316AD"/>
    <w:rsid w:val="00F32677"/>
    <w:rsid w:val="00F33A18"/>
    <w:rsid w:val="00F343F8"/>
    <w:rsid w:val="00F373AD"/>
    <w:rsid w:val="00F40693"/>
    <w:rsid w:val="00F40A5B"/>
    <w:rsid w:val="00F42398"/>
    <w:rsid w:val="00F42439"/>
    <w:rsid w:val="00F45E67"/>
    <w:rsid w:val="00F50E64"/>
    <w:rsid w:val="00F53249"/>
    <w:rsid w:val="00F54AD2"/>
    <w:rsid w:val="00F558B5"/>
    <w:rsid w:val="00F6016C"/>
    <w:rsid w:val="00F71439"/>
    <w:rsid w:val="00F72FB9"/>
    <w:rsid w:val="00F73980"/>
    <w:rsid w:val="00F749E9"/>
    <w:rsid w:val="00F74DAF"/>
    <w:rsid w:val="00F759CD"/>
    <w:rsid w:val="00F75DB9"/>
    <w:rsid w:val="00F76228"/>
    <w:rsid w:val="00F77D82"/>
    <w:rsid w:val="00F81C93"/>
    <w:rsid w:val="00F825E9"/>
    <w:rsid w:val="00F82918"/>
    <w:rsid w:val="00F83FAF"/>
    <w:rsid w:val="00F84925"/>
    <w:rsid w:val="00F84D31"/>
    <w:rsid w:val="00F87DAB"/>
    <w:rsid w:val="00F947A5"/>
    <w:rsid w:val="00F95041"/>
    <w:rsid w:val="00FA225B"/>
    <w:rsid w:val="00FA368F"/>
    <w:rsid w:val="00FA680E"/>
    <w:rsid w:val="00FA7521"/>
    <w:rsid w:val="00FB2113"/>
    <w:rsid w:val="00FB4077"/>
    <w:rsid w:val="00FB6888"/>
    <w:rsid w:val="00FB701F"/>
    <w:rsid w:val="00FC1101"/>
    <w:rsid w:val="00FC2E5D"/>
    <w:rsid w:val="00FC4702"/>
    <w:rsid w:val="00FC6DAC"/>
    <w:rsid w:val="00FD29EC"/>
    <w:rsid w:val="00FD67A6"/>
    <w:rsid w:val="00FE0876"/>
    <w:rsid w:val="00FE10A8"/>
    <w:rsid w:val="00FE3D39"/>
    <w:rsid w:val="00FE552C"/>
    <w:rsid w:val="00FE5B9F"/>
    <w:rsid w:val="00FF4DB0"/>
    <w:rsid w:val="00FF4F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396F46A1"/>
  <w15:chartTrackingRefBased/>
  <w15:docId w15:val="{83878848-C647-457B-8077-564F9E53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697"/>
    <w:pPr>
      <w:spacing w:after="0" w:line="240" w:lineRule="auto"/>
    </w:pPr>
    <w:rPr>
      <w:rFonts w:ascii="Arial" w:eastAsia="Times New Roman" w:hAnsi="Arial" w:cs="Times New Roman"/>
      <w:sz w:val="23"/>
      <w:szCs w:val="20"/>
      <w:lang w:eastAsia="el-GR"/>
    </w:rPr>
  </w:style>
  <w:style w:type="paragraph" w:styleId="Heading1">
    <w:name w:val="heading 1"/>
    <w:basedOn w:val="Normal"/>
    <w:next w:val="Normal"/>
    <w:link w:val="Heading1Char"/>
    <w:autoRedefine/>
    <w:uiPriority w:val="9"/>
    <w:qFormat/>
    <w:rsid w:val="00760F3B"/>
    <w:pPr>
      <w:keepNext/>
      <w:keepLines/>
      <w:numPr>
        <w:numId w:val="4"/>
      </w:numPr>
      <w:tabs>
        <w:tab w:val="center" w:pos="2083"/>
      </w:tabs>
      <w:spacing w:before="360" w:after="240" w:line="360" w:lineRule="auto"/>
      <w:outlineLvl w:val="0"/>
    </w:pPr>
    <w:rPr>
      <w:rFonts w:ascii="Times New Roman" w:eastAsia="Arial" w:hAnsi="Times New Roman"/>
      <w:b/>
      <w:color w:val="003199"/>
      <w:sz w:val="32"/>
      <w:szCs w:val="32"/>
      <w:lang w:val="en-GB"/>
    </w:rPr>
  </w:style>
  <w:style w:type="paragraph" w:styleId="Heading2">
    <w:name w:val="heading 2"/>
    <w:basedOn w:val="Normal"/>
    <w:next w:val="Normal"/>
    <w:link w:val="Heading2Char"/>
    <w:unhideWhenUsed/>
    <w:qFormat/>
    <w:rsid w:val="00591697"/>
    <w:pPr>
      <w:keepNext/>
      <w:keepLines/>
      <w:numPr>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9169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625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F3B"/>
    <w:rPr>
      <w:rFonts w:ascii="Times New Roman" w:eastAsia="Arial" w:hAnsi="Times New Roman" w:cs="Times New Roman"/>
      <w:b/>
      <w:color w:val="003199"/>
      <w:sz w:val="32"/>
      <w:szCs w:val="32"/>
      <w:lang w:val="en-GB" w:eastAsia="el-GR"/>
    </w:rPr>
  </w:style>
  <w:style w:type="character" w:customStyle="1" w:styleId="Heading2Char">
    <w:name w:val="Heading 2 Char"/>
    <w:basedOn w:val="DefaultParagraphFont"/>
    <w:link w:val="Heading2"/>
    <w:rsid w:val="00591697"/>
    <w:rPr>
      <w:rFonts w:asciiTheme="majorHAnsi" w:eastAsiaTheme="majorEastAsia" w:hAnsiTheme="majorHAnsi" w:cstheme="majorBidi"/>
      <w:color w:val="2E74B5" w:themeColor="accent1" w:themeShade="BF"/>
      <w:sz w:val="26"/>
      <w:szCs w:val="26"/>
      <w:lang w:eastAsia="el-GR"/>
    </w:rPr>
  </w:style>
  <w:style w:type="character" w:customStyle="1" w:styleId="Heading3Char">
    <w:name w:val="Heading 3 Char"/>
    <w:basedOn w:val="DefaultParagraphFont"/>
    <w:link w:val="Heading3"/>
    <w:rsid w:val="00591697"/>
    <w:rPr>
      <w:rFonts w:asciiTheme="majorHAnsi" w:eastAsiaTheme="majorEastAsia" w:hAnsiTheme="majorHAnsi" w:cstheme="majorBidi"/>
      <w:color w:val="1F4D78" w:themeColor="accent1" w:themeShade="7F"/>
      <w:sz w:val="24"/>
      <w:szCs w:val="24"/>
      <w:lang w:eastAsia="el-GR"/>
    </w:rPr>
  </w:style>
  <w:style w:type="paragraph" w:styleId="Date">
    <w:name w:val="Date"/>
    <w:basedOn w:val="Normal"/>
    <w:next w:val="Normal"/>
    <w:link w:val="DateChar"/>
    <w:rsid w:val="00591697"/>
    <w:pPr>
      <w:spacing w:before="360"/>
      <w:ind w:left="5761"/>
    </w:pPr>
    <w:rPr>
      <w:b/>
    </w:rPr>
  </w:style>
  <w:style w:type="character" w:customStyle="1" w:styleId="DateChar">
    <w:name w:val="Date Char"/>
    <w:basedOn w:val="DefaultParagraphFont"/>
    <w:link w:val="Date"/>
    <w:rsid w:val="00591697"/>
    <w:rPr>
      <w:rFonts w:ascii="Arial" w:eastAsia="Times New Roman" w:hAnsi="Arial" w:cs="Times New Roman"/>
      <w:b/>
      <w:sz w:val="23"/>
      <w:szCs w:val="20"/>
      <w:lang w:eastAsia="el-GR"/>
    </w:rPr>
  </w:style>
  <w:style w:type="paragraph" w:customStyle="1" w:styleId="RecipientAddress">
    <w:name w:val="Recipient Address"/>
    <w:basedOn w:val="Normal"/>
    <w:autoRedefine/>
    <w:rsid w:val="00591697"/>
    <w:rPr>
      <w:sz w:val="24"/>
    </w:rPr>
  </w:style>
  <w:style w:type="paragraph" w:customStyle="1" w:styleId="RecipientName">
    <w:name w:val="Recipient Name"/>
    <w:basedOn w:val="RecipientAddress"/>
    <w:autoRedefine/>
    <w:rsid w:val="00591697"/>
    <w:pPr>
      <w:spacing w:before="720"/>
    </w:pPr>
  </w:style>
  <w:style w:type="paragraph" w:customStyle="1" w:styleId="Reference">
    <w:name w:val="Reference"/>
    <w:basedOn w:val="Normal"/>
    <w:autoRedefine/>
    <w:rsid w:val="00591697"/>
    <w:pPr>
      <w:tabs>
        <w:tab w:val="left" w:pos="2268"/>
      </w:tabs>
      <w:spacing w:before="360"/>
    </w:pPr>
    <w:rPr>
      <w:sz w:val="24"/>
    </w:rPr>
  </w:style>
  <w:style w:type="paragraph" w:customStyle="1" w:styleId="AttentionLine">
    <w:name w:val="Attention Line"/>
    <w:basedOn w:val="Normal"/>
    <w:autoRedefine/>
    <w:rsid w:val="00591697"/>
    <w:pPr>
      <w:tabs>
        <w:tab w:val="left" w:pos="1296"/>
      </w:tabs>
      <w:spacing w:before="240"/>
    </w:pPr>
    <w:rPr>
      <w:b/>
      <w:sz w:val="24"/>
    </w:rPr>
  </w:style>
  <w:style w:type="paragraph" w:customStyle="1" w:styleId="Typeofletter">
    <w:name w:val="Type of letter"/>
    <w:basedOn w:val="Normal"/>
    <w:autoRedefine/>
    <w:rsid w:val="00591697"/>
    <w:pPr>
      <w:spacing w:before="240"/>
      <w:ind w:left="6237"/>
    </w:pPr>
    <w:rPr>
      <w:b/>
      <w:sz w:val="24"/>
      <w:u w:val="single"/>
    </w:rPr>
  </w:style>
  <w:style w:type="paragraph" w:styleId="Salutation">
    <w:name w:val="Salutation"/>
    <w:basedOn w:val="Normal"/>
    <w:next w:val="Subject"/>
    <w:link w:val="SalutationChar"/>
    <w:autoRedefine/>
    <w:rsid w:val="00591697"/>
    <w:pPr>
      <w:spacing w:before="720"/>
    </w:pPr>
    <w:rPr>
      <w:sz w:val="24"/>
      <w:lang w:val="en-GB"/>
    </w:rPr>
  </w:style>
  <w:style w:type="paragraph" w:customStyle="1" w:styleId="Subject">
    <w:name w:val="Subject"/>
    <w:basedOn w:val="Normal"/>
    <w:autoRedefine/>
    <w:rsid w:val="00591697"/>
    <w:pPr>
      <w:keepNext/>
      <w:spacing w:before="480" w:after="480"/>
    </w:pPr>
    <w:rPr>
      <w:b/>
      <w:sz w:val="24"/>
      <w:lang w:val="en-GB"/>
    </w:rPr>
  </w:style>
  <w:style w:type="character" w:customStyle="1" w:styleId="SalutationChar">
    <w:name w:val="Salutation Char"/>
    <w:basedOn w:val="DefaultParagraphFont"/>
    <w:link w:val="Salutation"/>
    <w:rsid w:val="00591697"/>
    <w:rPr>
      <w:rFonts w:ascii="Arial" w:eastAsia="Times New Roman" w:hAnsi="Arial" w:cs="Times New Roman"/>
      <w:sz w:val="24"/>
      <w:szCs w:val="20"/>
      <w:lang w:val="en-GB" w:eastAsia="el-GR"/>
    </w:rPr>
  </w:style>
  <w:style w:type="paragraph" w:customStyle="1" w:styleId="MainBody">
    <w:name w:val="Main Body"/>
    <w:basedOn w:val="Normal"/>
    <w:autoRedefine/>
    <w:rsid w:val="00591697"/>
    <w:pPr>
      <w:ind w:firstLine="720"/>
      <w:jc w:val="both"/>
    </w:pPr>
    <w:rPr>
      <w:rFonts w:ascii="Garamond" w:hAnsi="Garamond"/>
      <w:sz w:val="24"/>
      <w:lang w:val="en-GB"/>
    </w:rPr>
  </w:style>
  <w:style w:type="paragraph" w:customStyle="1" w:styleId="cc">
    <w:name w:val="cc"/>
    <w:basedOn w:val="Normal"/>
    <w:autoRedefine/>
    <w:rsid w:val="00591697"/>
    <w:pPr>
      <w:tabs>
        <w:tab w:val="left" w:pos="540"/>
      </w:tabs>
      <w:spacing w:line="360" w:lineRule="auto"/>
    </w:pPr>
    <w:rPr>
      <w:sz w:val="24"/>
    </w:rPr>
  </w:style>
  <w:style w:type="paragraph" w:customStyle="1" w:styleId="Enclosure">
    <w:name w:val="Enclosure"/>
    <w:basedOn w:val="Normal"/>
    <w:autoRedefine/>
    <w:rsid w:val="00591697"/>
    <w:pPr>
      <w:tabs>
        <w:tab w:val="left" w:pos="1440"/>
      </w:tabs>
      <w:spacing w:before="480"/>
    </w:pPr>
    <w:rPr>
      <w:sz w:val="24"/>
    </w:rPr>
  </w:style>
  <w:style w:type="paragraph" w:styleId="Header">
    <w:name w:val="header"/>
    <w:basedOn w:val="Normal"/>
    <w:link w:val="HeaderChar"/>
    <w:rsid w:val="00591697"/>
    <w:pPr>
      <w:spacing w:after="600"/>
    </w:pPr>
    <w:rPr>
      <w:b/>
      <w:caps/>
      <w:sz w:val="28"/>
      <w:u w:val="single"/>
    </w:rPr>
  </w:style>
  <w:style w:type="character" w:customStyle="1" w:styleId="HeaderChar">
    <w:name w:val="Header Char"/>
    <w:basedOn w:val="DefaultParagraphFont"/>
    <w:link w:val="Header"/>
    <w:rsid w:val="00591697"/>
    <w:rPr>
      <w:rFonts w:ascii="Arial" w:eastAsia="Times New Roman" w:hAnsi="Arial" w:cs="Times New Roman"/>
      <w:b/>
      <w:caps/>
      <w:sz w:val="28"/>
      <w:szCs w:val="20"/>
      <w:u w:val="single"/>
      <w:lang w:eastAsia="el-GR"/>
    </w:rPr>
  </w:style>
  <w:style w:type="paragraph" w:customStyle="1" w:styleId="TypistInitials">
    <w:name w:val="Typist Initials"/>
    <w:basedOn w:val="Normal"/>
    <w:next w:val="Normal"/>
    <w:autoRedefine/>
    <w:rsid w:val="00591697"/>
    <w:pPr>
      <w:spacing w:line="360" w:lineRule="auto"/>
    </w:pPr>
  </w:style>
  <w:style w:type="paragraph" w:styleId="Closing">
    <w:name w:val="Closing"/>
    <w:basedOn w:val="Normal"/>
    <w:link w:val="ClosingChar"/>
    <w:autoRedefine/>
    <w:rsid w:val="00591697"/>
    <w:pPr>
      <w:spacing w:before="480" w:line="360" w:lineRule="auto"/>
      <w:ind w:left="5228"/>
      <w:jc w:val="center"/>
    </w:pPr>
    <w:rPr>
      <w:sz w:val="24"/>
      <w:szCs w:val="24"/>
      <w:lang w:val="en-GB"/>
    </w:rPr>
  </w:style>
  <w:style w:type="character" w:customStyle="1" w:styleId="ClosingChar">
    <w:name w:val="Closing Char"/>
    <w:basedOn w:val="DefaultParagraphFont"/>
    <w:link w:val="Closing"/>
    <w:rsid w:val="00591697"/>
    <w:rPr>
      <w:rFonts w:ascii="Arial" w:eastAsia="Times New Roman" w:hAnsi="Arial" w:cs="Times New Roman"/>
      <w:sz w:val="24"/>
      <w:szCs w:val="24"/>
      <w:lang w:val="en-GB" w:eastAsia="el-GR"/>
    </w:rPr>
  </w:style>
  <w:style w:type="paragraph" w:styleId="Footer">
    <w:name w:val="footer"/>
    <w:basedOn w:val="Normal"/>
    <w:link w:val="FooterChar"/>
    <w:rsid w:val="00591697"/>
    <w:pPr>
      <w:tabs>
        <w:tab w:val="center" w:pos="4153"/>
        <w:tab w:val="right" w:pos="8306"/>
      </w:tabs>
    </w:pPr>
  </w:style>
  <w:style w:type="character" w:customStyle="1" w:styleId="FooterChar">
    <w:name w:val="Footer Char"/>
    <w:basedOn w:val="DefaultParagraphFont"/>
    <w:link w:val="Footer"/>
    <w:rsid w:val="00591697"/>
    <w:rPr>
      <w:rFonts w:ascii="Arial" w:eastAsia="Times New Roman" w:hAnsi="Arial" w:cs="Times New Roman"/>
      <w:sz w:val="23"/>
      <w:szCs w:val="20"/>
      <w:lang w:eastAsia="el-GR"/>
    </w:rPr>
  </w:style>
  <w:style w:type="character" w:styleId="PageNumber">
    <w:name w:val="page number"/>
    <w:basedOn w:val="DefaultParagraphFont"/>
    <w:rsid w:val="00591697"/>
  </w:style>
  <w:style w:type="paragraph" w:customStyle="1" w:styleId="CBCHeading">
    <w:name w:val="CBC Heading"/>
    <w:basedOn w:val="Normal"/>
    <w:rsid w:val="00591697"/>
    <w:pPr>
      <w:spacing w:after="360"/>
      <w:jc w:val="center"/>
    </w:pPr>
    <w:rPr>
      <w:b/>
      <w:sz w:val="28"/>
    </w:rPr>
  </w:style>
  <w:style w:type="paragraph" w:customStyle="1" w:styleId="Name">
    <w:name w:val="Name"/>
    <w:basedOn w:val="Closing"/>
    <w:autoRedefine/>
    <w:rsid w:val="00591697"/>
    <w:pPr>
      <w:spacing w:before="1560" w:line="240" w:lineRule="auto"/>
    </w:pPr>
  </w:style>
  <w:style w:type="paragraph" w:customStyle="1" w:styleId="Position">
    <w:name w:val="Position"/>
    <w:basedOn w:val="Normal"/>
    <w:next w:val="Normal"/>
    <w:autoRedefine/>
    <w:rsid w:val="00591697"/>
    <w:pPr>
      <w:spacing w:after="120"/>
      <w:ind w:left="5228"/>
      <w:jc w:val="center"/>
    </w:pPr>
    <w:rPr>
      <w:sz w:val="24"/>
    </w:rPr>
  </w:style>
  <w:style w:type="paragraph" w:customStyle="1" w:styleId="Wayofsending">
    <w:name w:val="Way of sending"/>
    <w:basedOn w:val="Normal"/>
    <w:autoRedefine/>
    <w:rsid w:val="00591697"/>
    <w:pPr>
      <w:spacing w:before="240"/>
      <w:ind w:left="6237"/>
    </w:pPr>
    <w:rPr>
      <w:b/>
      <w:sz w:val="24"/>
      <w:u w:val="single"/>
    </w:rPr>
  </w:style>
  <w:style w:type="paragraph" w:customStyle="1" w:styleId="Information">
    <w:name w:val="Information"/>
    <w:basedOn w:val="CBCHeading"/>
    <w:rsid w:val="00591697"/>
    <w:pPr>
      <w:tabs>
        <w:tab w:val="left" w:pos="7655"/>
      </w:tabs>
      <w:spacing w:after="0"/>
      <w:jc w:val="left"/>
    </w:pPr>
    <w:rPr>
      <w:b w:val="0"/>
      <w:sz w:val="12"/>
    </w:rPr>
  </w:style>
  <w:style w:type="paragraph" w:customStyle="1" w:styleId="BodyBullets">
    <w:name w:val="Body Bullets"/>
    <w:basedOn w:val="Normal"/>
    <w:rsid w:val="00591697"/>
    <w:pPr>
      <w:spacing w:after="120"/>
      <w:ind w:left="284" w:hanging="284"/>
    </w:pPr>
  </w:style>
  <w:style w:type="paragraph" w:customStyle="1" w:styleId="BodyNumbering">
    <w:name w:val="Body Numbering"/>
    <w:basedOn w:val="Normal"/>
    <w:rsid w:val="00591697"/>
    <w:pPr>
      <w:spacing w:after="120"/>
      <w:ind w:left="283" w:hanging="283"/>
    </w:pPr>
  </w:style>
  <w:style w:type="paragraph" w:customStyle="1" w:styleId="CircularCode">
    <w:name w:val="Circular Code"/>
    <w:basedOn w:val="Normal"/>
    <w:rsid w:val="00591697"/>
  </w:style>
  <w:style w:type="paragraph" w:customStyle="1" w:styleId="CircularDate">
    <w:name w:val="Circular Date"/>
    <w:basedOn w:val="Normal"/>
    <w:rsid w:val="00591697"/>
    <w:pPr>
      <w:spacing w:before="120" w:after="120"/>
    </w:pPr>
  </w:style>
  <w:style w:type="paragraph" w:customStyle="1" w:styleId="CircularLetter">
    <w:name w:val="Circular Letter"/>
    <w:basedOn w:val="Normal"/>
    <w:rsid w:val="00591697"/>
    <w:pPr>
      <w:spacing w:after="480"/>
      <w:ind w:left="5227"/>
    </w:pPr>
    <w:rPr>
      <w:b/>
    </w:rPr>
  </w:style>
  <w:style w:type="paragraph" w:customStyle="1" w:styleId="RecipientPosition">
    <w:name w:val="Recipient Position"/>
    <w:basedOn w:val="RecipientAddress"/>
    <w:autoRedefine/>
    <w:rsid w:val="00591697"/>
  </w:style>
  <w:style w:type="paragraph" w:styleId="BalloonText">
    <w:name w:val="Balloon Text"/>
    <w:basedOn w:val="Normal"/>
    <w:link w:val="BalloonTextChar"/>
    <w:semiHidden/>
    <w:rsid w:val="00591697"/>
    <w:rPr>
      <w:rFonts w:ascii="Tahoma" w:hAnsi="Tahoma" w:cs="Tahoma"/>
      <w:sz w:val="16"/>
      <w:szCs w:val="16"/>
    </w:rPr>
  </w:style>
  <w:style w:type="character" w:customStyle="1" w:styleId="BalloonTextChar">
    <w:name w:val="Balloon Text Char"/>
    <w:basedOn w:val="DefaultParagraphFont"/>
    <w:link w:val="BalloonText"/>
    <w:semiHidden/>
    <w:rsid w:val="00591697"/>
    <w:rPr>
      <w:rFonts w:ascii="Tahoma" w:eastAsia="Times New Roman" w:hAnsi="Tahoma" w:cs="Tahoma"/>
      <w:sz w:val="16"/>
      <w:szCs w:val="16"/>
      <w:lang w:eastAsia="el-GR"/>
    </w:rPr>
  </w:style>
  <w:style w:type="paragraph" w:customStyle="1" w:styleId="RecipientOrganisation">
    <w:name w:val="Recipient Organisation"/>
    <w:basedOn w:val="RecipientPosition"/>
    <w:rsid w:val="00591697"/>
    <w:rPr>
      <w:lang w:val="en-GB"/>
    </w:rPr>
  </w:style>
  <w:style w:type="paragraph" w:styleId="NormalWeb">
    <w:name w:val="Normal (Web)"/>
    <w:basedOn w:val="Normal"/>
    <w:uiPriority w:val="99"/>
    <w:rsid w:val="00591697"/>
    <w:pPr>
      <w:spacing w:before="100" w:beforeAutospacing="1" w:after="100" w:afterAutospacing="1"/>
    </w:pPr>
    <w:rPr>
      <w:rFonts w:ascii="Verdana" w:hAnsi="Verdana"/>
      <w:sz w:val="22"/>
      <w:szCs w:val="22"/>
    </w:rPr>
  </w:style>
  <w:style w:type="character" w:customStyle="1" w:styleId="headtitle1">
    <w:name w:val="headtitle1"/>
    <w:basedOn w:val="DefaultParagraphFont"/>
    <w:rsid w:val="00591697"/>
    <w:rPr>
      <w:rFonts w:ascii="Trebuchet MS" w:hAnsi="Trebuchet MS" w:hint="default"/>
      <w:b/>
      <w:bCs/>
      <w:sz w:val="56"/>
      <w:szCs w:val="56"/>
    </w:rPr>
  </w:style>
  <w:style w:type="paragraph" w:customStyle="1" w:styleId="StyleDateLeft1175cm">
    <w:name w:val="Style Date + Left:  1175 cm"/>
    <w:basedOn w:val="Date"/>
    <w:autoRedefine/>
    <w:rsid w:val="00591697"/>
    <w:pPr>
      <w:spacing w:before="480"/>
      <w:ind w:left="4820"/>
      <w:jc w:val="center"/>
    </w:pPr>
    <w:rPr>
      <w:bCs/>
      <w:sz w:val="24"/>
    </w:rPr>
  </w:style>
  <w:style w:type="paragraph" w:customStyle="1" w:styleId="StyleNameBefore60pt">
    <w:name w:val="Style Name + Before:  60 pt"/>
    <w:basedOn w:val="Name"/>
    <w:autoRedefine/>
    <w:rsid w:val="00591697"/>
    <w:pPr>
      <w:spacing w:before="0"/>
    </w:pPr>
    <w:rPr>
      <w:rFonts w:ascii="Garamond" w:hAnsi="Garamond"/>
    </w:rPr>
  </w:style>
  <w:style w:type="paragraph" w:customStyle="1" w:styleId="Signed">
    <w:name w:val="Signed"/>
    <w:basedOn w:val="StyleNameBefore60pt"/>
    <w:autoRedefine/>
    <w:rsid w:val="00591697"/>
  </w:style>
  <w:style w:type="paragraph" w:customStyle="1" w:styleId="signed0">
    <w:name w:val="[signed]"/>
    <w:basedOn w:val="Normal"/>
    <w:rsid w:val="00591697"/>
    <w:pPr>
      <w:spacing w:before="720" w:after="720"/>
      <w:ind w:left="6804"/>
    </w:pPr>
    <w:rPr>
      <w:lang w:val="en-GB"/>
    </w:rPr>
  </w:style>
  <w:style w:type="paragraph" w:customStyle="1" w:styleId="StylesignedCenteredLeft925cm">
    <w:name w:val="Style [signed] + Centered Left:  925 cm"/>
    <w:basedOn w:val="signed0"/>
    <w:autoRedefine/>
    <w:rsid w:val="00591697"/>
    <w:pPr>
      <w:ind w:left="5245"/>
      <w:jc w:val="center"/>
    </w:pPr>
    <w:rPr>
      <w:sz w:val="24"/>
    </w:rPr>
  </w:style>
  <w:style w:type="character" w:styleId="Hyperlink">
    <w:name w:val="Hyperlink"/>
    <w:basedOn w:val="DefaultParagraphFont"/>
    <w:uiPriority w:val="99"/>
    <w:rsid w:val="00591697"/>
    <w:rPr>
      <w:color w:val="0000FF"/>
      <w:u w:val="single"/>
    </w:rPr>
  </w:style>
  <w:style w:type="paragraph" w:customStyle="1" w:styleId="StyleDateCenteredLeft875cmBefore24pt">
    <w:name w:val="Style Date + Centered Left:  875 cm Before:  24 pt"/>
    <w:basedOn w:val="Date"/>
    <w:autoRedefine/>
    <w:rsid w:val="00591697"/>
    <w:pPr>
      <w:spacing w:before="480"/>
      <w:ind w:left="4962"/>
      <w:jc w:val="center"/>
    </w:pPr>
    <w:rPr>
      <w:bCs/>
      <w:sz w:val="24"/>
    </w:rPr>
  </w:style>
  <w:style w:type="paragraph" w:customStyle="1" w:styleId="StyleMainBodyLinespacingsingle">
    <w:name w:val="Style Main Body + Line spacing:  single"/>
    <w:basedOn w:val="MainBody"/>
    <w:autoRedefine/>
    <w:rsid w:val="00591697"/>
    <w:rPr>
      <w:rFonts w:ascii="Arial" w:hAnsi="Arial"/>
    </w:rPr>
  </w:style>
  <w:style w:type="paragraph" w:customStyle="1" w:styleId="StylePositionAfter12pt">
    <w:name w:val="Style Position + After:  12 pt"/>
    <w:basedOn w:val="Position"/>
    <w:autoRedefine/>
    <w:rsid w:val="00591697"/>
    <w:pPr>
      <w:spacing w:after="0"/>
    </w:pPr>
  </w:style>
  <w:style w:type="paragraph" w:customStyle="1" w:styleId="a">
    <w:name w:val="Απευθείας Τηλέφωνο"/>
    <w:basedOn w:val="Normal"/>
    <w:autoRedefine/>
    <w:rsid w:val="00591697"/>
    <w:pPr>
      <w:tabs>
        <w:tab w:val="left" w:pos="2268"/>
      </w:tabs>
    </w:pPr>
    <w:rPr>
      <w:sz w:val="24"/>
    </w:rPr>
  </w:style>
  <w:style w:type="paragraph" w:customStyle="1" w:styleId="a0">
    <w:name w:val="Απευθείας Φαξ"/>
    <w:basedOn w:val="a"/>
    <w:rsid w:val="00591697"/>
  </w:style>
  <w:style w:type="paragraph" w:customStyle="1" w:styleId="a1">
    <w:name w:val="Ηλεκτρονικό Ταχυδρομείο"/>
    <w:basedOn w:val="a"/>
    <w:rsid w:val="00591697"/>
  </w:style>
  <w:style w:type="table" w:styleId="TableGrid">
    <w:name w:val="Table Grid"/>
    <w:basedOn w:val="TableNormal"/>
    <w:rsid w:val="0059169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591697"/>
    <w:rPr>
      <w:sz w:val="20"/>
    </w:rPr>
  </w:style>
  <w:style w:type="character" w:customStyle="1" w:styleId="EndnoteTextChar">
    <w:name w:val="Endnote Text Char"/>
    <w:basedOn w:val="DefaultParagraphFont"/>
    <w:link w:val="EndnoteText"/>
    <w:rsid w:val="00591697"/>
    <w:rPr>
      <w:rFonts w:ascii="Arial" w:eastAsia="Times New Roman" w:hAnsi="Arial" w:cs="Times New Roman"/>
      <w:sz w:val="20"/>
      <w:szCs w:val="20"/>
      <w:lang w:eastAsia="el-GR"/>
    </w:rPr>
  </w:style>
  <w:style w:type="character" w:styleId="EndnoteReference">
    <w:name w:val="endnote reference"/>
    <w:basedOn w:val="DefaultParagraphFont"/>
    <w:rsid w:val="00591697"/>
    <w:rPr>
      <w:vertAlign w:val="superscript"/>
    </w:rPr>
  </w:style>
  <w:style w:type="paragraph" w:styleId="FootnoteText">
    <w:name w:val="footnote text"/>
    <w:basedOn w:val="Normal"/>
    <w:link w:val="FootnoteTextChar"/>
    <w:uiPriority w:val="99"/>
    <w:rsid w:val="00591697"/>
    <w:rPr>
      <w:sz w:val="20"/>
    </w:rPr>
  </w:style>
  <w:style w:type="character" w:customStyle="1" w:styleId="FootnoteTextChar">
    <w:name w:val="Footnote Text Char"/>
    <w:basedOn w:val="DefaultParagraphFont"/>
    <w:link w:val="FootnoteText"/>
    <w:uiPriority w:val="99"/>
    <w:rsid w:val="00591697"/>
    <w:rPr>
      <w:rFonts w:ascii="Arial" w:eastAsia="Times New Roman" w:hAnsi="Arial" w:cs="Times New Roman"/>
      <w:sz w:val="20"/>
      <w:szCs w:val="20"/>
      <w:lang w:eastAsia="el-GR"/>
    </w:rPr>
  </w:style>
  <w:style w:type="character" w:styleId="FootnoteReference">
    <w:name w:val="footnote reference"/>
    <w:basedOn w:val="DefaultParagraphFont"/>
    <w:uiPriority w:val="99"/>
    <w:rsid w:val="00591697"/>
    <w:rPr>
      <w:vertAlign w:val="superscript"/>
    </w:rPr>
  </w:style>
  <w:style w:type="character" w:styleId="CommentReference">
    <w:name w:val="annotation reference"/>
    <w:basedOn w:val="DefaultParagraphFont"/>
    <w:rsid w:val="00591697"/>
    <w:rPr>
      <w:sz w:val="16"/>
      <w:szCs w:val="16"/>
    </w:rPr>
  </w:style>
  <w:style w:type="paragraph" w:styleId="CommentText">
    <w:name w:val="annotation text"/>
    <w:basedOn w:val="Normal"/>
    <w:link w:val="CommentTextChar"/>
    <w:rsid w:val="00591697"/>
    <w:rPr>
      <w:sz w:val="20"/>
    </w:rPr>
  </w:style>
  <w:style w:type="character" w:customStyle="1" w:styleId="CommentTextChar">
    <w:name w:val="Comment Text Char"/>
    <w:basedOn w:val="DefaultParagraphFont"/>
    <w:link w:val="CommentText"/>
    <w:rsid w:val="00591697"/>
    <w:rPr>
      <w:rFonts w:ascii="Arial" w:eastAsia="Times New Roman" w:hAnsi="Arial" w:cs="Times New Roman"/>
      <w:sz w:val="20"/>
      <w:szCs w:val="20"/>
      <w:lang w:eastAsia="el-GR"/>
    </w:rPr>
  </w:style>
  <w:style w:type="paragraph" w:styleId="CommentSubject">
    <w:name w:val="annotation subject"/>
    <w:basedOn w:val="CommentText"/>
    <w:next w:val="CommentText"/>
    <w:link w:val="CommentSubjectChar"/>
    <w:rsid w:val="00591697"/>
    <w:rPr>
      <w:b/>
      <w:bCs/>
    </w:rPr>
  </w:style>
  <w:style w:type="character" w:customStyle="1" w:styleId="CommentSubjectChar">
    <w:name w:val="Comment Subject Char"/>
    <w:basedOn w:val="CommentTextChar"/>
    <w:link w:val="CommentSubject"/>
    <w:rsid w:val="00591697"/>
    <w:rPr>
      <w:rFonts w:ascii="Arial" w:eastAsia="Times New Roman" w:hAnsi="Arial" w:cs="Times New Roman"/>
      <w:b/>
      <w:bCs/>
      <w:sz w:val="20"/>
      <w:szCs w:val="20"/>
      <w:lang w:eastAsia="el-GR"/>
    </w:rPr>
  </w:style>
  <w:style w:type="paragraph" w:styleId="Title">
    <w:name w:val="Title"/>
    <w:basedOn w:val="Normal"/>
    <w:next w:val="Normal"/>
    <w:link w:val="TitleChar"/>
    <w:qFormat/>
    <w:rsid w:val="005916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1697"/>
    <w:rPr>
      <w:rFonts w:asciiTheme="majorHAnsi" w:eastAsiaTheme="majorEastAsia" w:hAnsiTheme="majorHAnsi" w:cstheme="majorBidi"/>
      <w:spacing w:val="-10"/>
      <w:kern w:val="28"/>
      <w:sz w:val="56"/>
      <w:szCs w:val="56"/>
      <w:lang w:eastAsia="el-GR"/>
    </w:rPr>
  </w:style>
  <w:style w:type="character" w:styleId="Emphasis">
    <w:name w:val="Emphasis"/>
    <w:basedOn w:val="DefaultParagraphFont"/>
    <w:uiPriority w:val="20"/>
    <w:qFormat/>
    <w:rsid w:val="00591697"/>
    <w:rPr>
      <w:i/>
      <w:iCs/>
    </w:rPr>
  </w:style>
  <w:style w:type="paragraph" w:styleId="TOCHeading">
    <w:name w:val="TOC Heading"/>
    <w:basedOn w:val="Heading1"/>
    <w:next w:val="Normal"/>
    <w:uiPriority w:val="39"/>
    <w:unhideWhenUsed/>
    <w:qFormat/>
    <w:rsid w:val="00591697"/>
    <w:pPr>
      <w:outlineLvl w:val="9"/>
    </w:pPr>
    <w:rPr>
      <w:rFonts w:asciiTheme="majorHAnsi" w:hAnsiTheme="majorHAnsi"/>
      <w:i/>
      <w:color w:val="2E74B5" w:themeColor="accent1" w:themeShade="BF"/>
      <w:lang w:val="en-US" w:eastAsia="en-US"/>
    </w:rPr>
  </w:style>
  <w:style w:type="paragraph" w:styleId="TOC1">
    <w:name w:val="toc 1"/>
    <w:basedOn w:val="Normal"/>
    <w:next w:val="Normal"/>
    <w:autoRedefine/>
    <w:uiPriority w:val="39"/>
    <w:rsid w:val="007858E5"/>
    <w:pPr>
      <w:tabs>
        <w:tab w:val="left" w:pos="460"/>
        <w:tab w:val="right" w:leader="dot" w:pos="9737"/>
      </w:tabs>
      <w:spacing w:after="100"/>
    </w:pPr>
  </w:style>
  <w:style w:type="paragraph" w:styleId="NoSpacing">
    <w:name w:val="No Spacing"/>
    <w:link w:val="NoSpacingChar"/>
    <w:uiPriority w:val="1"/>
    <w:qFormat/>
    <w:rsid w:val="00591697"/>
    <w:pPr>
      <w:spacing w:after="0" w:line="240" w:lineRule="auto"/>
    </w:pPr>
    <w:rPr>
      <w:color w:val="44546A" w:themeColor="text2"/>
      <w:sz w:val="20"/>
      <w:szCs w:val="20"/>
      <w:lang w:val="en-US"/>
    </w:rPr>
  </w:style>
  <w:style w:type="character" w:customStyle="1" w:styleId="NoSpacingChar">
    <w:name w:val="No Spacing Char"/>
    <w:basedOn w:val="DefaultParagraphFont"/>
    <w:link w:val="NoSpacing"/>
    <w:uiPriority w:val="1"/>
    <w:rsid w:val="00591697"/>
    <w:rPr>
      <w:color w:val="44546A" w:themeColor="text2"/>
      <w:sz w:val="20"/>
      <w:szCs w:val="20"/>
      <w:lang w:val="en-US"/>
    </w:rPr>
  </w:style>
  <w:style w:type="paragraph" w:styleId="Subtitle">
    <w:name w:val="Subtitle"/>
    <w:basedOn w:val="Normal"/>
    <w:next w:val="Normal"/>
    <w:link w:val="SubtitleChar"/>
    <w:qFormat/>
    <w:rsid w:val="005916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91697"/>
    <w:rPr>
      <w:rFonts w:eastAsiaTheme="minorEastAsia"/>
      <w:color w:val="5A5A5A" w:themeColor="text1" w:themeTint="A5"/>
      <w:spacing w:val="15"/>
      <w:lang w:eastAsia="el-GR"/>
    </w:rPr>
  </w:style>
  <w:style w:type="paragraph" w:styleId="ListParagraph">
    <w:name w:val="List Paragraph"/>
    <w:basedOn w:val="Normal"/>
    <w:link w:val="ListParagraphChar"/>
    <w:uiPriority w:val="34"/>
    <w:qFormat/>
    <w:rsid w:val="00591697"/>
    <w:pPr>
      <w:ind w:left="720"/>
      <w:contextualSpacing/>
    </w:pPr>
  </w:style>
  <w:style w:type="paragraph" w:styleId="TOC2">
    <w:name w:val="toc 2"/>
    <w:basedOn w:val="Normal"/>
    <w:next w:val="Normal"/>
    <w:autoRedefine/>
    <w:uiPriority w:val="39"/>
    <w:rsid w:val="00591697"/>
    <w:pPr>
      <w:tabs>
        <w:tab w:val="left" w:pos="660"/>
        <w:tab w:val="right" w:leader="dot" w:pos="9061"/>
      </w:tabs>
      <w:spacing w:after="120" w:line="360" w:lineRule="auto"/>
      <w:ind w:left="232"/>
    </w:pPr>
  </w:style>
  <w:style w:type="table" w:styleId="TableSubtle1">
    <w:name w:val="Table Subtle 1"/>
    <w:basedOn w:val="TableNormal"/>
    <w:rsid w:val="00591697"/>
    <w:pPr>
      <w:spacing w:after="0" w:line="240" w:lineRule="auto"/>
    </w:pPr>
    <w:rPr>
      <w:rFonts w:ascii="Times New Roman" w:eastAsia="Times New Roman" w:hAnsi="Times New Roman" w:cs="Times New Roman"/>
      <w:sz w:val="20"/>
      <w:szCs w:val="20"/>
      <w:lang w:eastAsia="el-G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4-Accent1">
    <w:name w:val="Grid Table 4 Accent 1"/>
    <w:basedOn w:val="TableNormal"/>
    <w:uiPriority w:val="49"/>
    <w:rsid w:val="00591697"/>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591697"/>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5Dark-Accent3">
    <w:name w:val="List Table 5 Dark Accent 3"/>
    <w:basedOn w:val="TableNormal"/>
    <w:uiPriority w:val="50"/>
    <w:rsid w:val="00591697"/>
    <w:pPr>
      <w:spacing w:after="0" w:line="240" w:lineRule="auto"/>
    </w:pPr>
    <w:rPr>
      <w:rFonts w:ascii="Times New Roman" w:eastAsia="Times New Roman" w:hAnsi="Times New Roman" w:cs="Times New Roman"/>
      <w:color w:val="FFFFFF" w:themeColor="background1"/>
      <w:sz w:val="20"/>
      <w:szCs w:val="20"/>
      <w:lang w:eastAsia="el-GR"/>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fault">
    <w:name w:val="Default"/>
    <w:rsid w:val="00591697"/>
    <w:pPr>
      <w:autoSpaceDE w:val="0"/>
      <w:autoSpaceDN w:val="0"/>
      <w:adjustRightInd w:val="0"/>
      <w:spacing w:after="0" w:line="240" w:lineRule="auto"/>
    </w:pPr>
    <w:rPr>
      <w:rFonts w:ascii="Cambria" w:eastAsia="Times New Roman" w:hAnsi="Cambria" w:cs="Cambria"/>
      <w:color w:val="000000"/>
      <w:sz w:val="24"/>
      <w:szCs w:val="24"/>
      <w:lang w:eastAsia="el-GR"/>
    </w:rPr>
  </w:style>
  <w:style w:type="paragraph" w:styleId="TOC3">
    <w:name w:val="toc 3"/>
    <w:basedOn w:val="Normal"/>
    <w:next w:val="Normal"/>
    <w:autoRedefine/>
    <w:uiPriority w:val="39"/>
    <w:rsid w:val="00591697"/>
    <w:pPr>
      <w:spacing w:after="100"/>
      <w:ind w:left="460"/>
    </w:pPr>
  </w:style>
  <w:style w:type="character" w:styleId="FollowedHyperlink">
    <w:name w:val="FollowedHyperlink"/>
    <w:basedOn w:val="DefaultParagraphFont"/>
    <w:uiPriority w:val="99"/>
    <w:rsid w:val="00591697"/>
    <w:rPr>
      <w:color w:val="954F72" w:themeColor="followedHyperlink"/>
      <w:u w:val="single"/>
    </w:rPr>
  </w:style>
  <w:style w:type="paragraph" w:customStyle="1" w:styleId="CM1">
    <w:name w:val="CM1"/>
    <w:basedOn w:val="Default"/>
    <w:next w:val="Default"/>
    <w:uiPriority w:val="99"/>
    <w:rsid w:val="00591697"/>
    <w:rPr>
      <w:rFonts w:ascii="EUAlbertina" w:hAnsi="EUAlbertina" w:cs="Times New Roman"/>
      <w:color w:val="auto"/>
    </w:rPr>
  </w:style>
  <w:style w:type="paragraph" w:customStyle="1" w:styleId="CM3">
    <w:name w:val="CM3"/>
    <w:basedOn w:val="Default"/>
    <w:next w:val="Default"/>
    <w:uiPriority w:val="99"/>
    <w:rsid w:val="00591697"/>
    <w:rPr>
      <w:rFonts w:ascii="EUAlbertina" w:hAnsi="EUAlbertina" w:cs="Times New Roman"/>
      <w:color w:val="auto"/>
    </w:rPr>
  </w:style>
  <w:style w:type="paragraph" w:customStyle="1" w:styleId="msonormal0">
    <w:name w:val="msonormal"/>
    <w:basedOn w:val="Normal"/>
    <w:rsid w:val="00591697"/>
    <w:pPr>
      <w:spacing w:before="100" w:beforeAutospacing="1" w:after="100" w:afterAutospacing="1"/>
    </w:pPr>
    <w:rPr>
      <w:rFonts w:ascii="Times New Roman" w:hAnsi="Times New Roman"/>
      <w:sz w:val="24"/>
      <w:szCs w:val="24"/>
    </w:rPr>
  </w:style>
  <w:style w:type="paragraph" w:customStyle="1" w:styleId="xl13704">
    <w:name w:val="xl13704"/>
    <w:basedOn w:val="Normal"/>
    <w:rsid w:val="00591697"/>
    <w:pPr>
      <w:spacing w:before="100" w:beforeAutospacing="1" w:after="100" w:afterAutospacing="1"/>
      <w:textAlignment w:val="top"/>
    </w:pPr>
    <w:rPr>
      <w:rFonts w:ascii="Times New Roman" w:hAnsi="Times New Roman"/>
      <w:sz w:val="20"/>
    </w:rPr>
  </w:style>
  <w:style w:type="paragraph" w:customStyle="1" w:styleId="xl13705">
    <w:name w:val="xl13705"/>
    <w:basedOn w:val="Normal"/>
    <w:rsid w:val="0059169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3706">
    <w:name w:val="xl13706"/>
    <w:basedOn w:val="Normal"/>
    <w:rsid w:val="0059169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3707">
    <w:name w:val="xl13707"/>
    <w:basedOn w:val="Normal"/>
    <w:rsid w:val="00591697"/>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08">
    <w:name w:val="xl13708"/>
    <w:basedOn w:val="Normal"/>
    <w:rsid w:val="0059169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3709">
    <w:name w:val="xl13709"/>
    <w:basedOn w:val="Normal"/>
    <w:rsid w:val="0059169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10">
    <w:name w:val="xl13710"/>
    <w:basedOn w:val="Normal"/>
    <w:rsid w:val="00591697"/>
    <w:pPr>
      <w:spacing w:before="100" w:beforeAutospacing="1" w:after="100" w:afterAutospacing="1"/>
      <w:jc w:val="center"/>
    </w:pPr>
    <w:rPr>
      <w:rFonts w:ascii="Times New Roman" w:hAnsi="Times New Roman"/>
      <w:b/>
      <w:bCs/>
      <w:sz w:val="24"/>
      <w:szCs w:val="24"/>
    </w:rPr>
  </w:style>
  <w:style w:type="paragraph" w:customStyle="1" w:styleId="xl13711">
    <w:name w:val="xl13711"/>
    <w:basedOn w:val="Normal"/>
    <w:rsid w:val="00591697"/>
    <w:pPr>
      <w:spacing w:before="100" w:beforeAutospacing="1" w:after="100" w:afterAutospacing="1"/>
      <w:jc w:val="center"/>
      <w:textAlignment w:val="center"/>
    </w:pPr>
    <w:rPr>
      <w:rFonts w:ascii="Times New Roman" w:hAnsi="Times New Roman"/>
      <w:b/>
      <w:bCs/>
      <w:sz w:val="24"/>
      <w:szCs w:val="24"/>
    </w:rPr>
  </w:style>
  <w:style w:type="paragraph" w:customStyle="1" w:styleId="xl13712">
    <w:name w:val="xl13712"/>
    <w:basedOn w:val="Normal"/>
    <w:rsid w:val="0059169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3713">
    <w:name w:val="xl13713"/>
    <w:basedOn w:val="Normal"/>
    <w:rsid w:val="005916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14">
    <w:name w:val="xl13714"/>
    <w:basedOn w:val="Normal"/>
    <w:rsid w:val="0059169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3715">
    <w:name w:val="xl13715"/>
    <w:basedOn w:val="Normal"/>
    <w:rsid w:val="00591697"/>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3716">
    <w:name w:val="xl13716"/>
    <w:basedOn w:val="Normal"/>
    <w:rsid w:val="0059169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3717">
    <w:name w:val="xl13717"/>
    <w:basedOn w:val="Normal"/>
    <w:rsid w:val="00591697"/>
    <w:pPr>
      <w:spacing w:before="100" w:beforeAutospacing="1" w:after="100" w:afterAutospacing="1"/>
      <w:jc w:val="center"/>
      <w:textAlignment w:val="center"/>
    </w:pPr>
    <w:rPr>
      <w:rFonts w:ascii="Times New Roman" w:hAnsi="Times New Roman"/>
      <w:b/>
      <w:bCs/>
      <w:sz w:val="28"/>
      <w:szCs w:val="28"/>
    </w:rPr>
  </w:style>
  <w:style w:type="paragraph" w:customStyle="1" w:styleId="xl13718">
    <w:name w:val="xl13718"/>
    <w:basedOn w:val="Normal"/>
    <w:rsid w:val="0059169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3719">
    <w:name w:val="xl13719"/>
    <w:basedOn w:val="Normal"/>
    <w:rsid w:val="00591697"/>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3720">
    <w:name w:val="xl13720"/>
    <w:basedOn w:val="Normal"/>
    <w:rsid w:val="005916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3721">
    <w:name w:val="xl13721"/>
    <w:basedOn w:val="Normal"/>
    <w:rsid w:val="00591697"/>
    <w:pPr>
      <w:spacing w:before="100" w:beforeAutospacing="1" w:after="100" w:afterAutospacing="1"/>
    </w:pPr>
    <w:rPr>
      <w:rFonts w:ascii="Times New Roman" w:hAnsi="Times New Roman"/>
      <w:b/>
      <w:bCs/>
      <w:sz w:val="24"/>
      <w:szCs w:val="24"/>
    </w:rPr>
  </w:style>
  <w:style w:type="paragraph" w:styleId="Revision">
    <w:name w:val="Revision"/>
    <w:hidden/>
    <w:uiPriority w:val="99"/>
    <w:semiHidden/>
    <w:rsid w:val="00A16A6B"/>
    <w:pPr>
      <w:spacing w:after="0" w:line="240" w:lineRule="auto"/>
    </w:pPr>
    <w:rPr>
      <w:rFonts w:ascii="Arial" w:eastAsia="Times New Roman" w:hAnsi="Arial" w:cs="Times New Roman"/>
      <w:sz w:val="23"/>
      <w:szCs w:val="20"/>
      <w:lang w:eastAsia="el-GR"/>
    </w:rPr>
  </w:style>
  <w:style w:type="character" w:styleId="Strong">
    <w:name w:val="Strong"/>
    <w:basedOn w:val="DefaultParagraphFont"/>
    <w:uiPriority w:val="22"/>
    <w:qFormat/>
    <w:rsid w:val="00363D23"/>
    <w:rPr>
      <w:b/>
      <w:bCs/>
    </w:rPr>
  </w:style>
  <w:style w:type="character" w:customStyle="1" w:styleId="Heading4Char">
    <w:name w:val="Heading 4 Char"/>
    <w:basedOn w:val="DefaultParagraphFont"/>
    <w:link w:val="Heading4"/>
    <w:uiPriority w:val="9"/>
    <w:rsid w:val="006625A4"/>
    <w:rPr>
      <w:rFonts w:asciiTheme="majorHAnsi" w:eastAsiaTheme="majorEastAsia" w:hAnsiTheme="majorHAnsi" w:cstheme="majorBidi"/>
      <w:i/>
      <w:iCs/>
      <w:color w:val="2E74B5" w:themeColor="accent1" w:themeShade="BF"/>
      <w:sz w:val="23"/>
      <w:szCs w:val="20"/>
      <w:lang w:eastAsia="el-GR"/>
    </w:rPr>
  </w:style>
  <w:style w:type="character" w:customStyle="1" w:styleId="ListParagraphChar">
    <w:name w:val="List Paragraph Char"/>
    <w:link w:val="ListParagraph"/>
    <w:uiPriority w:val="34"/>
    <w:rsid w:val="006C112C"/>
    <w:rPr>
      <w:rFonts w:ascii="Arial" w:eastAsia="Times New Roman" w:hAnsi="Arial" w:cs="Times New Roman"/>
      <w:sz w:val="23"/>
      <w:szCs w:val="20"/>
      <w:lang w:eastAsia="el-GR"/>
    </w:rPr>
  </w:style>
  <w:style w:type="character" w:styleId="UnresolvedMention">
    <w:name w:val="Unresolved Mention"/>
    <w:basedOn w:val="DefaultParagraphFont"/>
    <w:uiPriority w:val="99"/>
    <w:semiHidden/>
    <w:unhideWhenUsed/>
    <w:rsid w:val="00930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75">
      <w:bodyDiv w:val="1"/>
      <w:marLeft w:val="0"/>
      <w:marRight w:val="0"/>
      <w:marTop w:val="0"/>
      <w:marBottom w:val="0"/>
      <w:divBdr>
        <w:top w:val="none" w:sz="0" w:space="0" w:color="auto"/>
        <w:left w:val="none" w:sz="0" w:space="0" w:color="auto"/>
        <w:bottom w:val="none" w:sz="0" w:space="0" w:color="auto"/>
        <w:right w:val="none" w:sz="0" w:space="0" w:color="auto"/>
      </w:divBdr>
    </w:div>
    <w:div w:id="8992166">
      <w:bodyDiv w:val="1"/>
      <w:marLeft w:val="0"/>
      <w:marRight w:val="0"/>
      <w:marTop w:val="0"/>
      <w:marBottom w:val="0"/>
      <w:divBdr>
        <w:top w:val="none" w:sz="0" w:space="0" w:color="auto"/>
        <w:left w:val="none" w:sz="0" w:space="0" w:color="auto"/>
        <w:bottom w:val="none" w:sz="0" w:space="0" w:color="auto"/>
        <w:right w:val="none" w:sz="0" w:space="0" w:color="auto"/>
      </w:divBdr>
      <w:divsChild>
        <w:div w:id="939987172">
          <w:marLeft w:val="922"/>
          <w:marRight w:val="0"/>
          <w:marTop w:val="0"/>
          <w:marBottom w:val="0"/>
          <w:divBdr>
            <w:top w:val="none" w:sz="0" w:space="0" w:color="auto"/>
            <w:left w:val="none" w:sz="0" w:space="0" w:color="auto"/>
            <w:bottom w:val="none" w:sz="0" w:space="0" w:color="auto"/>
            <w:right w:val="none" w:sz="0" w:space="0" w:color="auto"/>
          </w:divBdr>
        </w:div>
      </w:divsChild>
    </w:div>
    <w:div w:id="10879483">
      <w:bodyDiv w:val="1"/>
      <w:marLeft w:val="0"/>
      <w:marRight w:val="0"/>
      <w:marTop w:val="0"/>
      <w:marBottom w:val="0"/>
      <w:divBdr>
        <w:top w:val="none" w:sz="0" w:space="0" w:color="auto"/>
        <w:left w:val="none" w:sz="0" w:space="0" w:color="auto"/>
        <w:bottom w:val="none" w:sz="0" w:space="0" w:color="auto"/>
        <w:right w:val="none" w:sz="0" w:space="0" w:color="auto"/>
      </w:divBdr>
    </w:div>
    <w:div w:id="79839934">
      <w:bodyDiv w:val="1"/>
      <w:marLeft w:val="0"/>
      <w:marRight w:val="0"/>
      <w:marTop w:val="0"/>
      <w:marBottom w:val="0"/>
      <w:divBdr>
        <w:top w:val="none" w:sz="0" w:space="0" w:color="auto"/>
        <w:left w:val="none" w:sz="0" w:space="0" w:color="auto"/>
        <w:bottom w:val="none" w:sz="0" w:space="0" w:color="auto"/>
        <w:right w:val="none" w:sz="0" w:space="0" w:color="auto"/>
      </w:divBdr>
    </w:div>
    <w:div w:id="86582225">
      <w:bodyDiv w:val="1"/>
      <w:marLeft w:val="0"/>
      <w:marRight w:val="0"/>
      <w:marTop w:val="0"/>
      <w:marBottom w:val="0"/>
      <w:divBdr>
        <w:top w:val="none" w:sz="0" w:space="0" w:color="auto"/>
        <w:left w:val="none" w:sz="0" w:space="0" w:color="auto"/>
        <w:bottom w:val="none" w:sz="0" w:space="0" w:color="auto"/>
        <w:right w:val="none" w:sz="0" w:space="0" w:color="auto"/>
      </w:divBdr>
    </w:div>
    <w:div w:id="112134078">
      <w:bodyDiv w:val="1"/>
      <w:marLeft w:val="0"/>
      <w:marRight w:val="0"/>
      <w:marTop w:val="0"/>
      <w:marBottom w:val="0"/>
      <w:divBdr>
        <w:top w:val="none" w:sz="0" w:space="0" w:color="auto"/>
        <w:left w:val="none" w:sz="0" w:space="0" w:color="auto"/>
        <w:bottom w:val="none" w:sz="0" w:space="0" w:color="auto"/>
        <w:right w:val="none" w:sz="0" w:space="0" w:color="auto"/>
      </w:divBdr>
    </w:div>
    <w:div w:id="115293297">
      <w:bodyDiv w:val="1"/>
      <w:marLeft w:val="0"/>
      <w:marRight w:val="0"/>
      <w:marTop w:val="0"/>
      <w:marBottom w:val="0"/>
      <w:divBdr>
        <w:top w:val="none" w:sz="0" w:space="0" w:color="auto"/>
        <w:left w:val="none" w:sz="0" w:space="0" w:color="auto"/>
        <w:bottom w:val="none" w:sz="0" w:space="0" w:color="auto"/>
        <w:right w:val="none" w:sz="0" w:space="0" w:color="auto"/>
      </w:divBdr>
    </w:div>
    <w:div w:id="141966715">
      <w:bodyDiv w:val="1"/>
      <w:marLeft w:val="0"/>
      <w:marRight w:val="0"/>
      <w:marTop w:val="0"/>
      <w:marBottom w:val="0"/>
      <w:divBdr>
        <w:top w:val="none" w:sz="0" w:space="0" w:color="auto"/>
        <w:left w:val="none" w:sz="0" w:space="0" w:color="auto"/>
        <w:bottom w:val="none" w:sz="0" w:space="0" w:color="auto"/>
        <w:right w:val="none" w:sz="0" w:space="0" w:color="auto"/>
      </w:divBdr>
    </w:div>
    <w:div w:id="163908254">
      <w:bodyDiv w:val="1"/>
      <w:marLeft w:val="0"/>
      <w:marRight w:val="0"/>
      <w:marTop w:val="0"/>
      <w:marBottom w:val="0"/>
      <w:divBdr>
        <w:top w:val="none" w:sz="0" w:space="0" w:color="auto"/>
        <w:left w:val="none" w:sz="0" w:space="0" w:color="auto"/>
        <w:bottom w:val="none" w:sz="0" w:space="0" w:color="auto"/>
        <w:right w:val="none" w:sz="0" w:space="0" w:color="auto"/>
      </w:divBdr>
    </w:div>
    <w:div w:id="165288886">
      <w:bodyDiv w:val="1"/>
      <w:marLeft w:val="0"/>
      <w:marRight w:val="0"/>
      <w:marTop w:val="0"/>
      <w:marBottom w:val="0"/>
      <w:divBdr>
        <w:top w:val="none" w:sz="0" w:space="0" w:color="auto"/>
        <w:left w:val="none" w:sz="0" w:space="0" w:color="auto"/>
        <w:bottom w:val="none" w:sz="0" w:space="0" w:color="auto"/>
        <w:right w:val="none" w:sz="0" w:space="0" w:color="auto"/>
      </w:divBdr>
    </w:div>
    <w:div w:id="194537664">
      <w:bodyDiv w:val="1"/>
      <w:marLeft w:val="0"/>
      <w:marRight w:val="0"/>
      <w:marTop w:val="0"/>
      <w:marBottom w:val="0"/>
      <w:divBdr>
        <w:top w:val="none" w:sz="0" w:space="0" w:color="auto"/>
        <w:left w:val="none" w:sz="0" w:space="0" w:color="auto"/>
        <w:bottom w:val="none" w:sz="0" w:space="0" w:color="auto"/>
        <w:right w:val="none" w:sz="0" w:space="0" w:color="auto"/>
      </w:divBdr>
    </w:div>
    <w:div w:id="200477788">
      <w:bodyDiv w:val="1"/>
      <w:marLeft w:val="0"/>
      <w:marRight w:val="0"/>
      <w:marTop w:val="0"/>
      <w:marBottom w:val="0"/>
      <w:divBdr>
        <w:top w:val="none" w:sz="0" w:space="0" w:color="auto"/>
        <w:left w:val="none" w:sz="0" w:space="0" w:color="auto"/>
        <w:bottom w:val="none" w:sz="0" w:space="0" w:color="auto"/>
        <w:right w:val="none" w:sz="0" w:space="0" w:color="auto"/>
      </w:divBdr>
    </w:div>
    <w:div w:id="202182306">
      <w:bodyDiv w:val="1"/>
      <w:marLeft w:val="0"/>
      <w:marRight w:val="0"/>
      <w:marTop w:val="0"/>
      <w:marBottom w:val="0"/>
      <w:divBdr>
        <w:top w:val="none" w:sz="0" w:space="0" w:color="auto"/>
        <w:left w:val="none" w:sz="0" w:space="0" w:color="auto"/>
        <w:bottom w:val="none" w:sz="0" w:space="0" w:color="auto"/>
        <w:right w:val="none" w:sz="0" w:space="0" w:color="auto"/>
      </w:divBdr>
    </w:div>
    <w:div w:id="203643807">
      <w:bodyDiv w:val="1"/>
      <w:marLeft w:val="0"/>
      <w:marRight w:val="0"/>
      <w:marTop w:val="0"/>
      <w:marBottom w:val="0"/>
      <w:divBdr>
        <w:top w:val="none" w:sz="0" w:space="0" w:color="auto"/>
        <w:left w:val="none" w:sz="0" w:space="0" w:color="auto"/>
        <w:bottom w:val="none" w:sz="0" w:space="0" w:color="auto"/>
        <w:right w:val="none" w:sz="0" w:space="0" w:color="auto"/>
      </w:divBdr>
    </w:div>
    <w:div w:id="221717078">
      <w:bodyDiv w:val="1"/>
      <w:marLeft w:val="0"/>
      <w:marRight w:val="0"/>
      <w:marTop w:val="0"/>
      <w:marBottom w:val="0"/>
      <w:divBdr>
        <w:top w:val="none" w:sz="0" w:space="0" w:color="auto"/>
        <w:left w:val="none" w:sz="0" w:space="0" w:color="auto"/>
        <w:bottom w:val="none" w:sz="0" w:space="0" w:color="auto"/>
        <w:right w:val="none" w:sz="0" w:space="0" w:color="auto"/>
      </w:divBdr>
    </w:div>
    <w:div w:id="243532327">
      <w:bodyDiv w:val="1"/>
      <w:marLeft w:val="0"/>
      <w:marRight w:val="0"/>
      <w:marTop w:val="0"/>
      <w:marBottom w:val="0"/>
      <w:divBdr>
        <w:top w:val="none" w:sz="0" w:space="0" w:color="auto"/>
        <w:left w:val="none" w:sz="0" w:space="0" w:color="auto"/>
        <w:bottom w:val="none" w:sz="0" w:space="0" w:color="auto"/>
        <w:right w:val="none" w:sz="0" w:space="0" w:color="auto"/>
      </w:divBdr>
    </w:div>
    <w:div w:id="254676244">
      <w:bodyDiv w:val="1"/>
      <w:marLeft w:val="0"/>
      <w:marRight w:val="0"/>
      <w:marTop w:val="0"/>
      <w:marBottom w:val="0"/>
      <w:divBdr>
        <w:top w:val="none" w:sz="0" w:space="0" w:color="auto"/>
        <w:left w:val="none" w:sz="0" w:space="0" w:color="auto"/>
        <w:bottom w:val="none" w:sz="0" w:space="0" w:color="auto"/>
        <w:right w:val="none" w:sz="0" w:space="0" w:color="auto"/>
      </w:divBdr>
    </w:div>
    <w:div w:id="259024938">
      <w:bodyDiv w:val="1"/>
      <w:marLeft w:val="0"/>
      <w:marRight w:val="0"/>
      <w:marTop w:val="0"/>
      <w:marBottom w:val="0"/>
      <w:divBdr>
        <w:top w:val="none" w:sz="0" w:space="0" w:color="auto"/>
        <w:left w:val="none" w:sz="0" w:space="0" w:color="auto"/>
        <w:bottom w:val="none" w:sz="0" w:space="0" w:color="auto"/>
        <w:right w:val="none" w:sz="0" w:space="0" w:color="auto"/>
      </w:divBdr>
    </w:div>
    <w:div w:id="285351672">
      <w:bodyDiv w:val="1"/>
      <w:marLeft w:val="0"/>
      <w:marRight w:val="0"/>
      <w:marTop w:val="0"/>
      <w:marBottom w:val="0"/>
      <w:divBdr>
        <w:top w:val="none" w:sz="0" w:space="0" w:color="auto"/>
        <w:left w:val="none" w:sz="0" w:space="0" w:color="auto"/>
        <w:bottom w:val="none" w:sz="0" w:space="0" w:color="auto"/>
        <w:right w:val="none" w:sz="0" w:space="0" w:color="auto"/>
      </w:divBdr>
    </w:div>
    <w:div w:id="288322277">
      <w:bodyDiv w:val="1"/>
      <w:marLeft w:val="0"/>
      <w:marRight w:val="0"/>
      <w:marTop w:val="0"/>
      <w:marBottom w:val="0"/>
      <w:divBdr>
        <w:top w:val="none" w:sz="0" w:space="0" w:color="auto"/>
        <w:left w:val="none" w:sz="0" w:space="0" w:color="auto"/>
        <w:bottom w:val="none" w:sz="0" w:space="0" w:color="auto"/>
        <w:right w:val="none" w:sz="0" w:space="0" w:color="auto"/>
      </w:divBdr>
    </w:div>
    <w:div w:id="290982082">
      <w:bodyDiv w:val="1"/>
      <w:marLeft w:val="0"/>
      <w:marRight w:val="0"/>
      <w:marTop w:val="0"/>
      <w:marBottom w:val="0"/>
      <w:divBdr>
        <w:top w:val="none" w:sz="0" w:space="0" w:color="auto"/>
        <w:left w:val="none" w:sz="0" w:space="0" w:color="auto"/>
        <w:bottom w:val="none" w:sz="0" w:space="0" w:color="auto"/>
        <w:right w:val="none" w:sz="0" w:space="0" w:color="auto"/>
      </w:divBdr>
    </w:div>
    <w:div w:id="305546651">
      <w:bodyDiv w:val="1"/>
      <w:marLeft w:val="0"/>
      <w:marRight w:val="0"/>
      <w:marTop w:val="0"/>
      <w:marBottom w:val="0"/>
      <w:divBdr>
        <w:top w:val="none" w:sz="0" w:space="0" w:color="auto"/>
        <w:left w:val="none" w:sz="0" w:space="0" w:color="auto"/>
        <w:bottom w:val="none" w:sz="0" w:space="0" w:color="auto"/>
        <w:right w:val="none" w:sz="0" w:space="0" w:color="auto"/>
      </w:divBdr>
    </w:div>
    <w:div w:id="314383995">
      <w:bodyDiv w:val="1"/>
      <w:marLeft w:val="0"/>
      <w:marRight w:val="0"/>
      <w:marTop w:val="0"/>
      <w:marBottom w:val="0"/>
      <w:divBdr>
        <w:top w:val="none" w:sz="0" w:space="0" w:color="auto"/>
        <w:left w:val="none" w:sz="0" w:space="0" w:color="auto"/>
        <w:bottom w:val="none" w:sz="0" w:space="0" w:color="auto"/>
        <w:right w:val="none" w:sz="0" w:space="0" w:color="auto"/>
      </w:divBdr>
    </w:div>
    <w:div w:id="320818787">
      <w:bodyDiv w:val="1"/>
      <w:marLeft w:val="0"/>
      <w:marRight w:val="0"/>
      <w:marTop w:val="0"/>
      <w:marBottom w:val="0"/>
      <w:divBdr>
        <w:top w:val="none" w:sz="0" w:space="0" w:color="auto"/>
        <w:left w:val="none" w:sz="0" w:space="0" w:color="auto"/>
        <w:bottom w:val="none" w:sz="0" w:space="0" w:color="auto"/>
        <w:right w:val="none" w:sz="0" w:space="0" w:color="auto"/>
      </w:divBdr>
    </w:div>
    <w:div w:id="323093783">
      <w:bodyDiv w:val="1"/>
      <w:marLeft w:val="0"/>
      <w:marRight w:val="0"/>
      <w:marTop w:val="0"/>
      <w:marBottom w:val="0"/>
      <w:divBdr>
        <w:top w:val="none" w:sz="0" w:space="0" w:color="auto"/>
        <w:left w:val="none" w:sz="0" w:space="0" w:color="auto"/>
        <w:bottom w:val="none" w:sz="0" w:space="0" w:color="auto"/>
        <w:right w:val="none" w:sz="0" w:space="0" w:color="auto"/>
      </w:divBdr>
    </w:div>
    <w:div w:id="421921431">
      <w:bodyDiv w:val="1"/>
      <w:marLeft w:val="0"/>
      <w:marRight w:val="0"/>
      <w:marTop w:val="0"/>
      <w:marBottom w:val="0"/>
      <w:divBdr>
        <w:top w:val="none" w:sz="0" w:space="0" w:color="auto"/>
        <w:left w:val="none" w:sz="0" w:space="0" w:color="auto"/>
        <w:bottom w:val="none" w:sz="0" w:space="0" w:color="auto"/>
        <w:right w:val="none" w:sz="0" w:space="0" w:color="auto"/>
      </w:divBdr>
    </w:div>
    <w:div w:id="449784072">
      <w:bodyDiv w:val="1"/>
      <w:marLeft w:val="0"/>
      <w:marRight w:val="0"/>
      <w:marTop w:val="0"/>
      <w:marBottom w:val="0"/>
      <w:divBdr>
        <w:top w:val="none" w:sz="0" w:space="0" w:color="auto"/>
        <w:left w:val="none" w:sz="0" w:space="0" w:color="auto"/>
        <w:bottom w:val="none" w:sz="0" w:space="0" w:color="auto"/>
        <w:right w:val="none" w:sz="0" w:space="0" w:color="auto"/>
      </w:divBdr>
    </w:div>
    <w:div w:id="454642125">
      <w:bodyDiv w:val="1"/>
      <w:marLeft w:val="0"/>
      <w:marRight w:val="0"/>
      <w:marTop w:val="0"/>
      <w:marBottom w:val="0"/>
      <w:divBdr>
        <w:top w:val="none" w:sz="0" w:space="0" w:color="auto"/>
        <w:left w:val="none" w:sz="0" w:space="0" w:color="auto"/>
        <w:bottom w:val="none" w:sz="0" w:space="0" w:color="auto"/>
        <w:right w:val="none" w:sz="0" w:space="0" w:color="auto"/>
      </w:divBdr>
    </w:div>
    <w:div w:id="463501122">
      <w:bodyDiv w:val="1"/>
      <w:marLeft w:val="0"/>
      <w:marRight w:val="0"/>
      <w:marTop w:val="0"/>
      <w:marBottom w:val="0"/>
      <w:divBdr>
        <w:top w:val="none" w:sz="0" w:space="0" w:color="auto"/>
        <w:left w:val="none" w:sz="0" w:space="0" w:color="auto"/>
        <w:bottom w:val="none" w:sz="0" w:space="0" w:color="auto"/>
        <w:right w:val="none" w:sz="0" w:space="0" w:color="auto"/>
      </w:divBdr>
    </w:div>
    <w:div w:id="471410497">
      <w:bodyDiv w:val="1"/>
      <w:marLeft w:val="0"/>
      <w:marRight w:val="0"/>
      <w:marTop w:val="0"/>
      <w:marBottom w:val="0"/>
      <w:divBdr>
        <w:top w:val="none" w:sz="0" w:space="0" w:color="auto"/>
        <w:left w:val="none" w:sz="0" w:space="0" w:color="auto"/>
        <w:bottom w:val="none" w:sz="0" w:space="0" w:color="auto"/>
        <w:right w:val="none" w:sz="0" w:space="0" w:color="auto"/>
      </w:divBdr>
    </w:div>
    <w:div w:id="473526462">
      <w:bodyDiv w:val="1"/>
      <w:marLeft w:val="0"/>
      <w:marRight w:val="0"/>
      <w:marTop w:val="0"/>
      <w:marBottom w:val="0"/>
      <w:divBdr>
        <w:top w:val="none" w:sz="0" w:space="0" w:color="auto"/>
        <w:left w:val="none" w:sz="0" w:space="0" w:color="auto"/>
        <w:bottom w:val="none" w:sz="0" w:space="0" w:color="auto"/>
        <w:right w:val="none" w:sz="0" w:space="0" w:color="auto"/>
      </w:divBdr>
    </w:div>
    <w:div w:id="507718732">
      <w:bodyDiv w:val="1"/>
      <w:marLeft w:val="0"/>
      <w:marRight w:val="0"/>
      <w:marTop w:val="0"/>
      <w:marBottom w:val="0"/>
      <w:divBdr>
        <w:top w:val="none" w:sz="0" w:space="0" w:color="auto"/>
        <w:left w:val="none" w:sz="0" w:space="0" w:color="auto"/>
        <w:bottom w:val="none" w:sz="0" w:space="0" w:color="auto"/>
        <w:right w:val="none" w:sz="0" w:space="0" w:color="auto"/>
      </w:divBdr>
    </w:div>
    <w:div w:id="554121480">
      <w:bodyDiv w:val="1"/>
      <w:marLeft w:val="0"/>
      <w:marRight w:val="0"/>
      <w:marTop w:val="0"/>
      <w:marBottom w:val="0"/>
      <w:divBdr>
        <w:top w:val="none" w:sz="0" w:space="0" w:color="auto"/>
        <w:left w:val="none" w:sz="0" w:space="0" w:color="auto"/>
        <w:bottom w:val="none" w:sz="0" w:space="0" w:color="auto"/>
        <w:right w:val="none" w:sz="0" w:space="0" w:color="auto"/>
      </w:divBdr>
    </w:div>
    <w:div w:id="569074419">
      <w:bodyDiv w:val="1"/>
      <w:marLeft w:val="0"/>
      <w:marRight w:val="0"/>
      <w:marTop w:val="0"/>
      <w:marBottom w:val="0"/>
      <w:divBdr>
        <w:top w:val="none" w:sz="0" w:space="0" w:color="auto"/>
        <w:left w:val="none" w:sz="0" w:space="0" w:color="auto"/>
        <w:bottom w:val="none" w:sz="0" w:space="0" w:color="auto"/>
        <w:right w:val="none" w:sz="0" w:space="0" w:color="auto"/>
      </w:divBdr>
    </w:div>
    <w:div w:id="645352779">
      <w:bodyDiv w:val="1"/>
      <w:marLeft w:val="0"/>
      <w:marRight w:val="0"/>
      <w:marTop w:val="0"/>
      <w:marBottom w:val="0"/>
      <w:divBdr>
        <w:top w:val="none" w:sz="0" w:space="0" w:color="auto"/>
        <w:left w:val="none" w:sz="0" w:space="0" w:color="auto"/>
        <w:bottom w:val="none" w:sz="0" w:space="0" w:color="auto"/>
        <w:right w:val="none" w:sz="0" w:space="0" w:color="auto"/>
      </w:divBdr>
    </w:div>
    <w:div w:id="652947605">
      <w:bodyDiv w:val="1"/>
      <w:marLeft w:val="0"/>
      <w:marRight w:val="0"/>
      <w:marTop w:val="0"/>
      <w:marBottom w:val="0"/>
      <w:divBdr>
        <w:top w:val="none" w:sz="0" w:space="0" w:color="auto"/>
        <w:left w:val="none" w:sz="0" w:space="0" w:color="auto"/>
        <w:bottom w:val="none" w:sz="0" w:space="0" w:color="auto"/>
        <w:right w:val="none" w:sz="0" w:space="0" w:color="auto"/>
      </w:divBdr>
    </w:div>
    <w:div w:id="653990502">
      <w:bodyDiv w:val="1"/>
      <w:marLeft w:val="0"/>
      <w:marRight w:val="0"/>
      <w:marTop w:val="0"/>
      <w:marBottom w:val="0"/>
      <w:divBdr>
        <w:top w:val="none" w:sz="0" w:space="0" w:color="auto"/>
        <w:left w:val="none" w:sz="0" w:space="0" w:color="auto"/>
        <w:bottom w:val="none" w:sz="0" w:space="0" w:color="auto"/>
        <w:right w:val="none" w:sz="0" w:space="0" w:color="auto"/>
      </w:divBdr>
    </w:div>
    <w:div w:id="672147045">
      <w:bodyDiv w:val="1"/>
      <w:marLeft w:val="0"/>
      <w:marRight w:val="0"/>
      <w:marTop w:val="0"/>
      <w:marBottom w:val="0"/>
      <w:divBdr>
        <w:top w:val="none" w:sz="0" w:space="0" w:color="auto"/>
        <w:left w:val="none" w:sz="0" w:space="0" w:color="auto"/>
        <w:bottom w:val="none" w:sz="0" w:space="0" w:color="auto"/>
        <w:right w:val="none" w:sz="0" w:space="0" w:color="auto"/>
      </w:divBdr>
    </w:div>
    <w:div w:id="682630804">
      <w:bodyDiv w:val="1"/>
      <w:marLeft w:val="0"/>
      <w:marRight w:val="0"/>
      <w:marTop w:val="0"/>
      <w:marBottom w:val="0"/>
      <w:divBdr>
        <w:top w:val="none" w:sz="0" w:space="0" w:color="auto"/>
        <w:left w:val="none" w:sz="0" w:space="0" w:color="auto"/>
        <w:bottom w:val="none" w:sz="0" w:space="0" w:color="auto"/>
        <w:right w:val="none" w:sz="0" w:space="0" w:color="auto"/>
      </w:divBdr>
      <w:divsChild>
        <w:div w:id="1563983725">
          <w:marLeft w:val="922"/>
          <w:marRight w:val="0"/>
          <w:marTop w:val="0"/>
          <w:marBottom w:val="0"/>
          <w:divBdr>
            <w:top w:val="none" w:sz="0" w:space="0" w:color="auto"/>
            <w:left w:val="none" w:sz="0" w:space="0" w:color="auto"/>
            <w:bottom w:val="none" w:sz="0" w:space="0" w:color="auto"/>
            <w:right w:val="none" w:sz="0" w:space="0" w:color="auto"/>
          </w:divBdr>
        </w:div>
      </w:divsChild>
    </w:div>
    <w:div w:id="685207791">
      <w:bodyDiv w:val="1"/>
      <w:marLeft w:val="0"/>
      <w:marRight w:val="0"/>
      <w:marTop w:val="0"/>
      <w:marBottom w:val="0"/>
      <w:divBdr>
        <w:top w:val="none" w:sz="0" w:space="0" w:color="auto"/>
        <w:left w:val="none" w:sz="0" w:space="0" w:color="auto"/>
        <w:bottom w:val="none" w:sz="0" w:space="0" w:color="auto"/>
        <w:right w:val="none" w:sz="0" w:space="0" w:color="auto"/>
      </w:divBdr>
    </w:div>
    <w:div w:id="692924789">
      <w:bodyDiv w:val="1"/>
      <w:marLeft w:val="0"/>
      <w:marRight w:val="0"/>
      <w:marTop w:val="0"/>
      <w:marBottom w:val="0"/>
      <w:divBdr>
        <w:top w:val="none" w:sz="0" w:space="0" w:color="auto"/>
        <w:left w:val="none" w:sz="0" w:space="0" w:color="auto"/>
        <w:bottom w:val="none" w:sz="0" w:space="0" w:color="auto"/>
        <w:right w:val="none" w:sz="0" w:space="0" w:color="auto"/>
      </w:divBdr>
    </w:div>
    <w:div w:id="708459230">
      <w:bodyDiv w:val="1"/>
      <w:marLeft w:val="0"/>
      <w:marRight w:val="0"/>
      <w:marTop w:val="0"/>
      <w:marBottom w:val="0"/>
      <w:divBdr>
        <w:top w:val="none" w:sz="0" w:space="0" w:color="auto"/>
        <w:left w:val="none" w:sz="0" w:space="0" w:color="auto"/>
        <w:bottom w:val="none" w:sz="0" w:space="0" w:color="auto"/>
        <w:right w:val="none" w:sz="0" w:space="0" w:color="auto"/>
      </w:divBdr>
    </w:div>
    <w:div w:id="708995229">
      <w:bodyDiv w:val="1"/>
      <w:marLeft w:val="0"/>
      <w:marRight w:val="0"/>
      <w:marTop w:val="0"/>
      <w:marBottom w:val="0"/>
      <w:divBdr>
        <w:top w:val="none" w:sz="0" w:space="0" w:color="auto"/>
        <w:left w:val="none" w:sz="0" w:space="0" w:color="auto"/>
        <w:bottom w:val="none" w:sz="0" w:space="0" w:color="auto"/>
        <w:right w:val="none" w:sz="0" w:space="0" w:color="auto"/>
      </w:divBdr>
    </w:div>
    <w:div w:id="716861287">
      <w:bodyDiv w:val="1"/>
      <w:marLeft w:val="0"/>
      <w:marRight w:val="0"/>
      <w:marTop w:val="0"/>
      <w:marBottom w:val="0"/>
      <w:divBdr>
        <w:top w:val="none" w:sz="0" w:space="0" w:color="auto"/>
        <w:left w:val="none" w:sz="0" w:space="0" w:color="auto"/>
        <w:bottom w:val="none" w:sz="0" w:space="0" w:color="auto"/>
        <w:right w:val="none" w:sz="0" w:space="0" w:color="auto"/>
      </w:divBdr>
      <w:divsChild>
        <w:div w:id="1710950615">
          <w:marLeft w:val="922"/>
          <w:marRight w:val="0"/>
          <w:marTop w:val="0"/>
          <w:marBottom w:val="0"/>
          <w:divBdr>
            <w:top w:val="none" w:sz="0" w:space="0" w:color="auto"/>
            <w:left w:val="none" w:sz="0" w:space="0" w:color="auto"/>
            <w:bottom w:val="none" w:sz="0" w:space="0" w:color="auto"/>
            <w:right w:val="none" w:sz="0" w:space="0" w:color="auto"/>
          </w:divBdr>
        </w:div>
      </w:divsChild>
    </w:div>
    <w:div w:id="748577701">
      <w:bodyDiv w:val="1"/>
      <w:marLeft w:val="0"/>
      <w:marRight w:val="0"/>
      <w:marTop w:val="0"/>
      <w:marBottom w:val="0"/>
      <w:divBdr>
        <w:top w:val="none" w:sz="0" w:space="0" w:color="auto"/>
        <w:left w:val="none" w:sz="0" w:space="0" w:color="auto"/>
        <w:bottom w:val="none" w:sz="0" w:space="0" w:color="auto"/>
        <w:right w:val="none" w:sz="0" w:space="0" w:color="auto"/>
      </w:divBdr>
    </w:div>
    <w:div w:id="779179323">
      <w:bodyDiv w:val="1"/>
      <w:marLeft w:val="0"/>
      <w:marRight w:val="0"/>
      <w:marTop w:val="0"/>
      <w:marBottom w:val="0"/>
      <w:divBdr>
        <w:top w:val="none" w:sz="0" w:space="0" w:color="auto"/>
        <w:left w:val="none" w:sz="0" w:space="0" w:color="auto"/>
        <w:bottom w:val="none" w:sz="0" w:space="0" w:color="auto"/>
        <w:right w:val="none" w:sz="0" w:space="0" w:color="auto"/>
      </w:divBdr>
    </w:div>
    <w:div w:id="792134772">
      <w:bodyDiv w:val="1"/>
      <w:marLeft w:val="0"/>
      <w:marRight w:val="0"/>
      <w:marTop w:val="0"/>
      <w:marBottom w:val="0"/>
      <w:divBdr>
        <w:top w:val="none" w:sz="0" w:space="0" w:color="auto"/>
        <w:left w:val="none" w:sz="0" w:space="0" w:color="auto"/>
        <w:bottom w:val="none" w:sz="0" w:space="0" w:color="auto"/>
        <w:right w:val="none" w:sz="0" w:space="0" w:color="auto"/>
      </w:divBdr>
    </w:div>
    <w:div w:id="800925870">
      <w:bodyDiv w:val="1"/>
      <w:marLeft w:val="0"/>
      <w:marRight w:val="0"/>
      <w:marTop w:val="0"/>
      <w:marBottom w:val="0"/>
      <w:divBdr>
        <w:top w:val="none" w:sz="0" w:space="0" w:color="auto"/>
        <w:left w:val="none" w:sz="0" w:space="0" w:color="auto"/>
        <w:bottom w:val="none" w:sz="0" w:space="0" w:color="auto"/>
        <w:right w:val="none" w:sz="0" w:space="0" w:color="auto"/>
      </w:divBdr>
    </w:div>
    <w:div w:id="835727334">
      <w:bodyDiv w:val="1"/>
      <w:marLeft w:val="0"/>
      <w:marRight w:val="0"/>
      <w:marTop w:val="0"/>
      <w:marBottom w:val="0"/>
      <w:divBdr>
        <w:top w:val="none" w:sz="0" w:space="0" w:color="auto"/>
        <w:left w:val="none" w:sz="0" w:space="0" w:color="auto"/>
        <w:bottom w:val="none" w:sz="0" w:space="0" w:color="auto"/>
        <w:right w:val="none" w:sz="0" w:space="0" w:color="auto"/>
      </w:divBdr>
    </w:div>
    <w:div w:id="849880826">
      <w:bodyDiv w:val="1"/>
      <w:marLeft w:val="0"/>
      <w:marRight w:val="0"/>
      <w:marTop w:val="0"/>
      <w:marBottom w:val="0"/>
      <w:divBdr>
        <w:top w:val="none" w:sz="0" w:space="0" w:color="auto"/>
        <w:left w:val="none" w:sz="0" w:space="0" w:color="auto"/>
        <w:bottom w:val="none" w:sz="0" w:space="0" w:color="auto"/>
        <w:right w:val="none" w:sz="0" w:space="0" w:color="auto"/>
      </w:divBdr>
    </w:div>
    <w:div w:id="865757174">
      <w:bodyDiv w:val="1"/>
      <w:marLeft w:val="0"/>
      <w:marRight w:val="0"/>
      <w:marTop w:val="0"/>
      <w:marBottom w:val="0"/>
      <w:divBdr>
        <w:top w:val="none" w:sz="0" w:space="0" w:color="auto"/>
        <w:left w:val="none" w:sz="0" w:space="0" w:color="auto"/>
        <w:bottom w:val="none" w:sz="0" w:space="0" w:color="auto"/>
        <w:right w:val="none" w:sz="0" w:space="0" w:color="auto"/>
      </w:divBdr>
    </w:div>
    <w:div w:id="926962830">
      <w:bodyDiv w:val="1"/>
      <w:marLeft w:val="0"/>
      <w:marRight w:val="0"/>
      <w:marTop w:val="0"/>
      <w:marBottom w:val="0"/>
      <w:divBdr>
        <w:top w:val="none" w:sz="0" w:space="0" w:color="auto"/>
        <w:left w:val="none" w:sz="0" w:space="0" w:color="auto"/>
        <w:bottom w:val="none" w:sz="0" w:space="0" w:color="auto"/>
        <w:right w:val="none" w:sz="0" w:space="0" w:color="auto"/>
      </w:divBdr>
    </w:div>
    <w:div w:id="927542498">
      <w:bodyDiv w:val="1"/>
      <w:marLeft w:val="0"/>
      <w:marRight w:val="0"/>
      <w:marTop w:val="0"/>
      <w:marBottom w:val="0"/>
      <w:divBdr>
        <w:top w:val="none" w:sz="0" w:space="0" w:color="auto"/>
        <w:left w:val="none" w:sz="0" w:space="0" w:color="auto"/>
        <w:bottom w:val="none" w:sz="0" w:space="0" w:color="auto"/>
        <w:right w:val="none" w:sz="0" w:space="0" w:color="auto"/>
      </w:divBdr>
    </w:div>
    <w:div w:id="980188124">
      <w:bodyDiv w:val="1"/>
      <w:marLeft w:val="0"/>
      <w:marRight w:val="0"/>
      <w:marTop w:val="0"/>
      <w:marBottom w:val="0"/>
      <w:divBdr>
        <w:top w:val="none" w:sz="0" w:space="0" w:color="auto"/>
        <w:left w:val="none" w:sz="0" w:space="0" w:color="auto"/>
        <w:bottom w:val="none" w:sz="0" w:space="0" w:color="auto"/>
        <w:right w:val="none" w:sz="0" w:space="0" w:color="auto"/>
      </w:divBdr>
    </w:div>
    <w:div w:id="992831699">
      <w:bodyDiv w:val="1"/>
      <w:marLeft w:val="0"/>
      <w:marRight w:val="0"/>
      <w:marTop w:val="0"/>
      <w:marBottom w:val="0"/>
      <w:divBdr>
        <w:top w:val="none" w:sz="0" w:space="0" w:color="auto"/>
        <w:left w:val="none" w:sz="0" w:space="0" w:color="auto"/>
        <w:bottom w:val="none" w:sz="0" w:space="0" w:color="auto"/>
        <w:right w:val="none" w:sz="0" w:space="0" w:color="auto"/>
      </w:divBdr>
    </w:div>
    <w:div w:id="1004210184">
      <w:bodyDiv w:val="1"/>
      <w:marLeft w:val="0"/>
      <w:marRight w:val="0"/>
      <w:marTop w:val="0"/>
      <w:marBottom w:val="0"/>
      <w:divBdr>
        <w:top w:val="none" w:sz="0" w:space="0" w:color="auto"/>
        <w:left w:val="none" w:sz="0" w:space="0" w:color="auto"/>
        <w:bottom w:val="none" w:sz="0" w:space="0" w:color="auto"/>
        <w:right w:val="none" w:sz="0" w:space="0" w:color="auto"/>
      </w:divBdr>
    </w:div>
    <w:div w:id="1011488281">
      <w:bodyDiv w:val="1"/>
      <w:marLeft w:val="0"/>
      <w:marRight w:val="0"/>
      <w:marTop w:val="0"/>
      <w:marBottom w:val="0"/>
      <w:divBdr>
        <w:top w:val="none" w:sz="0" w:space="0" w:color="auto"/>
        <w:left w:val="none" w:sz="0" w:space="0" w:color="auto"/>
        <w:bottom w:val="none" w:sz="0" w:space="0" w:color="auto"/>
        <w:right w:val="none" w:sz="0" w:space="0" w:color="auto"/>
      </w:divBdr>
    </w:div>
    <w:div w:id="1026635671">
      <w:bodyDiv w:val="1"/>
      <w:marLeft w:val="0"/>
      <w:marRight w:val="0"/>
      <w:marTop w:val="0"/>
      <w:marBottom w:val="0"/>
      <w:divBdr>
        <w:top w:val="none" w:sz="0" w:space="0" w:color="auto"/>
        <w:left w:val="none" w:sz="0" w:space="0" w:color="auto"/>
        <w:bottom w:val="none" w:sz="0" w:space="0" w:color="auto"/>
        <w:right w:val="none" w:sz="0" w:space="0" w:color="auto"/>
      </w:divBdr>
    </w:div>
    <w:div w:id="1052776114">
      <w:bodyDiv w:val="1"/>
      <w:marLeft w:val="0"/>
      <w:marRight w:val="0"/>
      <w:marTop w:val="0"/>
      <w:marBottom w:val="0"/>
      <w:divBdr>
        <w:top w:val="none" w:sz="0" w:space="0" w:color="auto"/>
        <w:left w:val="none" w:sz="0" w:space="0" w:color="auto"/>
        <w:bottom w:val="none" w:sz="0" w:space="0" w:color="auto"/>
        <w:right w:val="none" w:sz="0" w:space="0" w:color="auto"/>
      </w:divBdr>
    </w:div>
    <w:div w:id="1062678148">
      <w:bodyDiv w:val="1"/>
      <w:marLeft w:val="0"/>
      <w:marRight w:val="0"/>
      <w:marTop w:val="0"/>
      <w:marBottom w:val="0"/>
      <w:divBdr>
        <w:top w:val="none" w:sz="0" w:space="0" w:color="auto"/>
        <w:left w:val="none" w:sz="0" w:space="0" w:color="auto"/>
        <w:bottom w:val="none" w:sz="0" w:space="0" w:color="auto"/>
        <w:right w:val="none" w:sz="0" w:space="0" w:color="auto"/>
      </w:divBdr>
    </w:div>
    <w:div w:id="1102605508">
      <w:bodyDiv w:val="1"/>
      <w:marLeft w:val="0"/>
      <w:marRight w:val="0"/>
      <w:marTop w:val="0"/>
      <w:marBottom w:val="0"/>
      <w:divBdr>
        <w:top w:val="none" w:sz="0" w:space="0" w:color="auto"/>
        <w:left w:val="none" w:sz="0" w:space="0" w:color="auto"/>
        <w:bottom w:val="none" w:sz="0" w:space="0" w:color="auto"/>
        <w:right w:val="none" w:sz="0" w:space="0" w:color="auto"/>
      </w:divBdr>
    </w:div>
    <w:div w:id="1106970318">
      <w:bodyDiv w:val="1"/>
      <w:marLeft w:val="0"/>
      <w:marRight w:val="0"/>
      <w:marTop w:val="0"/>
      <w:marBottom w:val="0"/>
      <w:divBdr>
        <w:top w:val="none" w:sz="0" w:space="0" w:color="auto"/>
        <w:left w:val="none" w:sz="0" w:space="0" w:color="auto"/>
        <w:bottom w:val="none" w:sz="0" w:space="0" w:color="auto"/>
        <w:right w:val="none" w:sz="0" w:space="0" w:color="auto"/>
      </w:divBdr>
    </w:div>
    <w:div w:id="1110708301">
      <w:bodyDiv w:val="1"/>
      <w:marLeft w:val="0"/>
      <w:marRight w:val="0"/>
      <w:marTop w:val="0"/>
      <w:marBottom w:val="0"/>
      <w:divBdr>
        <w:top w:val="none" w:sz="0" w:space="0" w:color="auto"/>
        <w:left w:val="none" w:sz="0" w:space="0" w:color="auto"/>
        <w:bottom w:val="none" w:sz="0" w:space="0" w:color="auto"/>
        <w:right w:val="none" w:sz="0" w:space="0" w:color="auto"/>
      </w:divBdr>
    </w:div>
    <w:div w:id="1139423534">
      <w:bodyDiv w:val="1"/>
      <w:marLeft w:val="0"/>
      <w:marRight w:val="0"/>
      <w:marTop w:val="0"/>
      <w:marBottom w:val="0"/>
      <w:divBdr>
        <w:top w:val="none" w:sz="0" w:space="0" w:color="auto"/>
        <w:left w:val="none" w:sz="0" w:space="0" w:color="auto"/>
        <w:bottom w:val="none" w:sz="0" w:space="0" w:color="auto"/>
        <w:right w:val="none" w:sz="0" w:space="0" w:color="auto"/>
      </w:divBdr>
    </w:div>
    <w:div w:id="1156383589">
      <w:bodyDiv w:val="1"/>
      <w:marLeft w:val="0"/>
      <w:marRight w:val="0"/>
      <w:marTop w:val="0"/>
      <w:marBottom w:val="0"/>
      <w:divBdr>
        <w:top w:val="none" w:sz="0" w:space="0" w:color="auto"/>
        <w:left w:val="none" w:sz="0" w:space="0" w:color="auto"/>
        <w:bottom w:val="none" w:sz="0" w:space="0" w:color="auto"/>
        <w:right w:val="none" w:sz="0" w:space="0" w:color="auto"/>
      </w:divBdr>
    </w:div>
    <w:div w:id="1177617852">
      <w:bodyDiv w:val="1"/>
      <w:marLeft w:val="0"/>
      <w:marRight w:val="0"/>
      <w:marTop w:val="0"/>
      <w:marBottom w:val="0"/>
      <w:divBdr>
        <w:top w:val="none" w:sz="0" w:space="0" w:color="auto"/>
        <w:left w:val="none" w:sz="0" w:space="0" w:color="auto"/>
        <w:bottom w:val="none" w:sz="0" w:space="0" w:color="auto"/>
        <w:right w:val="none" w:sz="0" w:space="0" w:color="auto"/>
      </w:divBdr>
    </w:div>
    <w:div w:id="1202061459">
      <w:bodyDiv w:val="1"/>
      <w:marLeft w:val="0"/>
      <w:marRight w:val="0"/>
      <w:marTop w:val="0"/>
      <w:marBottom w:val="0"/>
      <w:divBdr>
        <w:top w:val="none" w:sz="0" w:space="0" w:color="auto"/>
        <w:left w:val="none" w:sz="0" w:space="0" w:color="auto"/>
        <w:bottom w:val="none" w:sz="0" w:space="0" w:color="auto"/>
        <w:right w:val="none" w:sz="0" w:space="0" w:color="auto"/>
      </w:divBdr>
    </w:div>
    <w:div w:id="1231235645">
      <w:bodyDiv w:val="1"/>
      <w:marLeft w:val="0"/>
      <w:marRight w:val="0"/>
      <w:marTop w:val="0"/>
      <w:marBottom w:val="0"/>
      <w:divBdr>
        <w:top w:val="none" w:sz="0" w:space="0" w:color="auto"/>
        <w:left w:val="none" w:sz="0" w:space="0" w:color="auto"/>
        <w:bottom w:val="none" w:sz="0" w:space="0" w:color="auto"/>
        <w:right w:val="none" w:sz="0" w:space="0" w:color="auto"/>
      </w:divBdr>
    </w:div>
    <w:div w:id="1238904398">
      <w:bodyDiv w:val="1"/>
      <w:marLeft w:val="0"/>
      <w:marRight w:val="0"/>
      <w:marTop w:val="0"/>
      <w:marBottom w:val="0"/>
      <w:divBdr>
        <w:top w:val="none" w:sz="0" w:space="0" w:color="auto"/>
        <w:left w:val="none" w:sz="0" w:space="0" w:color="auto"/>
        <w:bottom w:val="none" w:sz="0" w:space="0" w:color="auto"/>
        <w:right w:val="none" w:sz="0" w:space="0" w:color="auto"/>
      </w:divBdr>
    </w:div>
    <w:div w:id="1253199362">
      <w:bodyDiv w:val="1"/>
      <w:marLeft w:val="0"/>
      <w:marRight w:val="0"/>
      <w:marTop w:val="0"/>
      <w:marBottom w:val="0"/>
      <w:divBdr>
        <w:top w:val="none" w:sz="0" w:space="0" w:color="auto"/>
        <w:left w:val="none" w:sz="0" w:space="0" w:color="auto"/>
        <w:bottom w:val="none" w:sz="0" w:space="0" w:color="auto"/>
        <w:right w:val="none" w:sz="0" w:space="0" w:color="auto"/>
      </w:divBdr>
    </w:div>
    <w:div w:id="1258711341">
      <w:bodyDiv w:val="1"/>
      <w:marLeft w:val="0"/>
      <w:marRight w:val="0"/>
      <w:marTop w:val="0"/>
      <w:marBottom w:val="0"/>
      <w:divBdr>
        <w:top w:val="none" w:sz="0" w:space="0" w:color="auto"/>
        <w:left w:val="none" w:sz="0" w:space="0" w:color="auto"/>
        <w:bottom w:val="none" w:sz="0" w:space="0" w:color="auto"/>
        <w:right w:val="none" w:sz="0" w:space="0" w:color="auto"/>
      </w:divBdr>
    </w:div>
    <w:div w:id="1277372845">
      <w:bodyDiv w:val="1"/>
      <w:marLeft w:val="0"/>
      <w:marRight w:val="0"/>
      <w:marTop w:val="0"/>
      <w:marBottom w:val="0"/>
      <w:divBdr>
        <w:top w:val="none" w:sz="0" w:space="0" w:color="auto"/>
        <w:left w:val="none" w:sz="0" w:space="0" w:color="auto"/>
        <w:bottom w:val="none" w:sz="0" w:space="0" w:color="auto"/>
        <w:right w:val="none" w:sz="0" w:space="0" w:color="auto"/>
      </w:divBdr>
    </w:div>
    <w:div w:id="1301424014">
      <w:bodyDiv w:val="1"/>
      <w:marLeft w:val="0"/>
      <w:marRight w:val="0"/>
      <w:marTop w:val="0"/>
      <w:marBottom w:val="0"/>
      <w:divBdr>
        <w:top w:val="none" w:sz="0" w:space="0" w:color="auto"/>
        <w:left w:val="none" w:sz="0" w:space="0" w:color="auto"/>
        <w:bottom w:val="none" w:sz="0" w:space="0" w:color="auto"/>
        <w:right w:val="none" w:sz="0" w:space="0" w:color="auto"/>
      </w:divBdr>
    </w:div>
    <w:div w:id="1304117653">
      <w:bodyDiv w:val="1"/>
      <w:marLeft w:val="0"/>
      <w:marRight w:val="0"/>
      <w:marTop w:val="0"/>
      <w:marBottom w:val="0"/>
      <w:divBdr>
        <w:top w:val="none" w:sz="0" w:space="0" w:color="auto"/>
        <w:left w:val="none" w:sz="0" w:space="0" w:color="auto"/>
        <w:bottom w:val="none" w:sz="0" w:space="0" w:color="auto"/>
        <w:right w:val="none" w:sz="0" w:space="0" w:color="auto"/>
      </w:divBdr>
    </w:div>
    <w:div w:id="1338802021">
      <w:bodyDiv w:val="1"/>
      <w:marLeft w:val="0"/>
      <w:marRight w:val="0"/>
      <w:marTop w:val="0"/>
      <w:marBottom w:val="0"/>
      <w:divBdr>
        <w:top w:val="none" w:sz="0" w:space="0" w:color="auto"/>
        <w:left w:val="none" w:sz="0" w:space="0" w:color="auto"/>
        <w:bottom w:val="none" w:sz="0" w:space="0" w:color="auto"/>
        <w:right w:val="none" w:sz="0" w:space="0" w:color="auto"/>
      </w:divBdr>
    </w:div>
    <w:div w:id="1350371647">
      <w:bodyDiv w:val="1"/>
      <w:marLeft w:val="0"/>
      <w:marRight w:val="0"/>
      <w:marTop w:val="0"/>
      <w:marBottom w:val="0"/>
      <w:divBdr>
        <w:top w:val="none" w:sz="0" w:space="0" w:color="auto"/>
        <w:left w:val="none" w:sz="0" w:space="0" w:color="auto"/>
        <w:bottom w:val="none" w:sz="0" w:space="0" w:color="auto"/>
        <w:right w:val="none" w:sz="0" w:space="0" w:color="auto"/>
      </w:divBdr>
    </w:div>
    <w:div w:id="1377969895">
      <w:bodyDiv w:val="1"/>
      <w:marLeft w:val="0"/>
      <w:marRight w:val="0"/>
      <w:marTop w:val="0"/>
      <w:marBottom w:val="0"/>
      <w:divBdr>
        <w:top w:val="none" w:sz="0" w:space="0" w:color="auto"/>
        <w:left w:val="none" w:sz="0" w:space="0" w:color="auto"/>
        <w:bottom w:val="none" w:sz="0" w:space="0" w:color="auto"/>
        <w:right w:val="none" w:sz="0" w:space="0" w:color="auto"/>
      </w:divBdr>
    </w:div>
    <w:div w:id="1378966651">
      <w:bodyDiv w:val="1"/>
      <w:marLeft w:val="0"/>
      <w:marRight w:val="0"/>
      <w:marTop w:val="0"/>
      <w:marBottom w:val="0"/>
      <w:divBdr>
        <w:top w:val="none" w:sz="0" w:space="0" w:color="auto"/>
        <w:left w:val="none" w:sz="0" w:space="0" w:color="auto"/>
        <w:bottom w:val="none" w:sz="0" w:space="0" w:color="auto"/>
        <w:right w:val="none" w:sz="0" w:space="0" w:color="auto"/>
      </w:divBdr>
    </w:div>
    <w:div w:id="1385643047">
      <w:bodyDiv w:val="1"/>
      <w:marLeft w:val="0"/>
      <w:marRight w:val="0"/>
      <w:marTop w:val="0"/>
      <w:marBottom w:val="0"/>
      <w:divBdr>
        <w:top w:val="none" w:sz="0" w:space="0" w:color="auto"/>
        <w:left w:val="none" w:sz="0" w:space="0" w:color="auto"/>
        <w:bottom w:val="none" w:sz="0" w:space="0" w:color="auto"/>
        <w:right w:val="none" w:sz="0" w:space="0" w:color="auto"/>
      </w:divBdr>
    </w:div>
    <w:div w:id="1399474872">
      <w:bodyDiv w:val="1"/>
      <w:marLeft w:val="0"/>
      <w:marRight w:val="0"/>
      <w:marTop w:val="0"/>
      <w:marBottom w:val="0"/>
      <w:divBdr>
        <w:top w:val="none" w:sz="0" w:space="0" w:color="auto"/>
        <w:left w:val="none" w:sz="0" w:space="0" w:color="auto"/>
        <w:bottom w:val="none" w:sz="0" w:space="0" w:color="auto"/>
        <w:right w:val="none" w:sz="0" w:space="0" w:color="auto"/>
      </w:divBdr>
    </w:div>
    <w:div w:id="1422681449">
      <w:bodyDiv w:val="1"/>
      <w:marLeft w:val="0"/>
      <w:marRight w:val="0"/>
      <w:marTop w:val="0"/>
      <w:marBottom w:val="0"/>
      <w:divBdr>
        <w:top w:val="none" w:sz="0" w:space="0" w:color="auto"/>
        <w:left w:val="none" w:sz="0" w:space="0" w:color="auto"/>
        <w:bottom w:val="none" w:sz="0" w:space="0" w:color="auto"/>
        <w:right w:val="none" w:sz="0" w:space="0" w:color="auto"/>
      </w:divBdr>
    </w:div>
    <w:div w:id="1488283120">
      <w:bodyDiv w:val="1"/>
      <w:marLeft w:val="0"/>
      <w:marRight w:val="0"/>
      <w:marTop w:val="0"/>
      <w:marBottom w:val="0"/>
      <w:divBdr>
        <w:top w:val="none" w:sz="0" w:space="0" w:color="auto"/>
        <w:left w:val="none" w:sz="0" w:space="0" w:color="auto"/>
        <w:bottom w:val="none" w:sz="0" w:space="0" w:color="auto"/>
        <w:right w:val="none" w:sz="0" w:space="0" w:color="auto"/>
      </w:divBdr>
    </w:div>
    <w:div w:id="1509564202">
      <w:bodyDiv w:val="1"/>
      <w:marLeft w:val="0"/>
      <w:marRight w:val="0"/>
      <w:marTop w:val="0"/>
      <w:marBottom w:val="0"/>
      <w:divBdr>
        <w:top w:val="none" w:sz="0" w:space="0" w:color="auto"/>
        <w:left w:val="none" w:sz="0" w:space="0" w:color="auto"/>
        <w:bottom w:val="none" w:sz="0" w:space="0" w:color="auto"/>
        <w:right w:val="none" w:sz="0" w:space="0" w:color="auto"/>
      </w:divBdr>
    </w:div>
    <w:div w:id="1535117623">
      <w:bodyDiv w:val="1"/>
      <w:marLeft w:val="0"/>
      <w:marRight w:val="0"/>
      <w:marTop w:val="0"/>
      <w:marBottom w:val="0"/>
      <w:divBdr>
        <w:top w:val="none" w:sz="0" w:space="0" w:color="auto"/>
        <w:left w:val="none" w:sz="0" w:space="0" w:color="auto"/>
        <w:bottom w:val="none" w:sz="0" w:space="0" w:color="auto"/>
        <w:right w:val="none" w:sz="0" w:space="0" w:color="auto"/>
      </w:divBdr>
    </w:div>
    <w:div w:id="1543708517">
      <w:bodyDiv w:val="1"/>
      <w:marLeft w:val="0"/>
      <w:marRight w:val="0"/>
      <w:marTop w:val="0"/>
      <w:marBottom w:val="0"/>
      <w:divBdr>
        <w:top w:val="none" w:sz="0" w:space="0" w:color="auto"/>
        <w:left w:val="none" w:sz="0" w:space="0" w:color="auto"/>
        <w:bottom w:val="none" w:sz="0" w:space="0" w:color="auto"/>
        <w:right w:val="none" w:sz="0" w:space="0" w:color="auto"/>
      </w:divBdr>
    </w:div>
    <w:div w:id="1556963042">
      <w:bodyDiv w:val="1"/>
      <w:marLeft w:val="0"/>
      <w:marRight w:val="0"/>
      <w:marTop w:val="0"/>
      <w:marBottom w:val="0"/>
      <w:divBdr>
        <w:top w:val="none" w:sz="0" w:space="0" w:color="auto"/>
        <w:left w:val="none" w:sz="0" w:space="0" w:color="auto"/>
        <w:bottom w:val="none" w:sz="0" w:space="0" w:color="auto"/>
        <w:right w:val="none" w:sz="0" w:space="0" w:color="auto"/>
      </w:divBdr>
    </w:div>
    <w:div w:id="1558513602">
      <w:bodyDiv w:val="1"/>
      <w:marLeft w:val="0"/>
      <w:marRight w:val="0"/>
      <w:marTop w:val="0"/>
      <w:marBottom w:val="0"/>
      <w:divBdr>
        <w:top w:val="none" w:sz="0" w:space="0" w:color="auto"/>
        <w:left w:val="none" w:sz="0" w:space="0" w:color="auto"/>
        <w:bottom w:val="none" w:sz="0" w:space="0" w:color="auto"/>
        <w:right w:val="none" w:sz="0" w:space="0" w:color="auto"/>
      </w:divBdr>
    </w:div>
    <w:div w:id="1561332334">
      <w:bodyDiv w:val="1"/>
      <w:marLeft w:val="0"/>
      <w:marRight w:val="0"/>
      <w:marTop w:val="0"/>
      <w:marBottom w:val="0"/>
      <w:divBdr>
        <w:top w:val="none" w:sz="0" w:space="0" w:color="auto"/>
        <w:left w:val="none" w:sz="0" w:space="0" w:color="auto"/>
        <w:bottom w:val="none" w:sz="0" w:space="0" w:color="auto"/>
        <w:right w:val="none" w:sz="0" w:space="0" w:color="auto"/>
      </w:divBdr>
    </w:div>
    <w:div w:id="1577280580">
      <w:bodyDiv w:val="1"/>
      <w:marLeft w:val="0"/>
      <w:marRight w:val="0"/>
      <w:marTop w:val="0"/>
      <w:marBottom w:val="0"/>
      <w:divBdr>
        <w:top w:val="none" w:sz="0" w:space="0" w:color="auto"/>
        <w:left w:val="none" w:sz="0" w:space="0" w:color="auto"/>
        <w:bottom w:val="none" w:sz="0" w:space="0" w:color="auto"/>
        <w:right w:val="none" w:sz="0" w:space="0" w:color="auto"/>
      </w:divBdr>
    </w:div>
    <w:div w:id="1599869519">
      <w:bodyDiv w:val="1"/>
      <w:marLeft w:val="0"/>
      <w:marRight w:val="0"/>
      <w:marTop w:val="0"/>
      <w:marBottom w:val="0"/>
      <w:divBdr>
        <w:top w:val="none" w:sz="0" w:space="0" w:color="auto"/>
        <w:left w:val="none" w:sz="0" w:space="0" w:color="auto"/>
        <w:bottom w:val="none" w:sz="0" w:space="0" w:color="auto"/>
        <w:right w:val="none" w:sz="0" w:space="0" w:color="auto"/>
      </w:divBdr>
    </w:div>
    <w:div w:id="1659459645">
      <w:bodyDiv w:val="1"/>
      <w:marLeft w:val="0"/>
      <w:marRight w:val="0"/>
      <w:marTop w:val="0"/>
      <w:marBottom w:val="0"/>
      <w:divBdr>
        <w:top w:val="none" w:sz="0" w:space="0" w:color="auto"/>
        <w:left w:val="none" w:sz="0" w:space="0" w:color="auto"/>
        <w:bottom w:val="none" w:sz="0" w:space="0" w:color="auto"/>
        <w:right w:val="none" w:sz="0" w:space="0" w:color="auto"/>
      </w:divBdr>
    </w:div>
    <w:div w:id="1684623853">
      <w:bodyDiv w:val="1"/>
      <w:marLeft w:val="0"/>
      <w:marRight w:val="0"/>
      <w:marTop w:val="0"/>
      <w:marBottom w:val="0"/>
      <w:divBdr>
        <w:top w:val="none" w:sz="0" w:space="0" w:color="auto"/>
        <w:left w:val="none" w:sz="0" w:space="0" w:color="auto"/>
        <w:bottom w:val="none" w:sz="0" w:space="0" w:color="auto"/>
        <w:right w:val="none" w:sz="0" w:space="0" w:color="auto"/>
      </w:divBdr>
    </w:div>
    <w:div w:id="1711761466">
      <w:bodyDiv w:val="1"/>
      <w:marLeft w:val="0"/>
      <w:marRight w:val="0"/>
      <w:marTop w:val="0"/>
      <w:marBottom w:val="0"/>
      <w:divBdr>
        <w:top w:val="none" w:sz="0" w:space="0" w:color="auto"/>
        <w:left w:val="none" w:sz="0" w:space="0" w:color="auto"/>
        <w:bottom w:val="none" w:sz="0" w:space="0" w:color="auto"/>
        <w:right w:val="none" w:sz="0" w:space="0" w:color="auto"/>
      </w:divBdr>
    </w:div>
    <w:div w:id="1724907572">
      <w:bodyDiv w:val="1"/>
      <w:marLeft w:val="0"/>
      <w:marRight w:val="0"/>
      <w:marTop w:val="0"/>
      <w:marBottom w:val="0"/>
      <w:divBdr>
        <w:top w:val="none" w:sz="0" w:space="0" w:color="auto"/>
        <w:left w:val="none" w:sz="0" w:space="0" w:color="auto"/>
        <w:bottom w:val="none" w:sz="0" w:space="0" w:color="auto"/>
        <w:right w:val="none" w:sz="0" w:space="0" w:color="auto"/>
      </w:divBdr>
    </w:div>
    <w:div w:id="1734505810">
      <w:bodyDiv w:val="1"/>
      <w:marLeft w:val="0"/>
      <w:marRight w:val="0"/>
      <w:marTop w:val="0"/>
      <w:marBottom w:val="0"/>
      <w:divBdr>
        <w:top w:val="none" w:sz="0" w:space="0" w:color="auto"/>
        <w:left w:val="none" w:sz="0" w:space="0" w:color="auto"/>
        <w:bottom w:val="none" w:sz="0" w:space="0" w:color="auto"/>
        <w:right w:val="none" w:sz="0" w:space="0" w:color="auto"/>
      </w:divBdr>
    </w:div>
    <w:div w:id="1742945453">
      <w:bodyDiv w:val="1"/>
      <w:marLeft w:val="0"/>
      <w:marRight w:val="0"/>
      <w:marTop w:val="0"/>
      <w:marBottom w:val="0"/>
      <w:divBdr>
        <w:top w:val="none" w:sz="0" w:space="0" w:color="auto"/>
        <w:left w:val="none" w:sz="0" w:space="0" w:color="auto"/>
        <w:bottom w:val="none" w:sz="0" w:space="0" w:color="auto"/>
        <w:right w:val="none" w:sz="0" w:space="0" w:color="auto"/>
      </w:divBdr>
    </w:div>
    <w:div w:id="1790467550">
      <w:bodyDiv w:val="1"/>
      <w:marLeft w:val="0"/>
      <w:marRight w:val="0"/>
      <w:marTop w:val="0"/>
      <w:marBottom w:val="0"/>
      <w:divBdr>
        <w:top w:val="none" w:sz="0" w:space="0" w:color="auto"/>
        <w:left w:val="none" w:sz="0" w:space="0" w:color="auto"/>
        <w:bottom w:val="none" w:sz="0" w:space="0" w:color="auto"/>
        <w:right w:val="none" w:sz="0" w:space="0" w:color="auto"/>
      </w:divBdr>
    </w:div>
    <w:div w:id="1806384927">
      <w:bodyDiv w:val="1"/>
      <w:marLeft w:val="0"/>
      <w:marRight w:val="0"/>
      <w:marTop w:val="0"/>
      <w:marBottom w:val="0"/>
      <w:divBdr>
        <w:top w:val="none" w:sz="0" w:space="0" w:color="auto"/>
        <w:left w:val="none" w:sz="0" w:space="0" w:color="auto"/>
        <w:bottom w:val="none" w:sz="0" w:space="0" w:color="auto"/>
        <w:right w:val="none" w:sz="0" w:space="0" w:color="auto"/>
      </w:divBdr>
    </w:div>
    <w:div w:id="1893348714">
      <w:bodyDiv w:val="1"/>
      <w:marLeft w:val="0"/>
      <w:marRight w:val="0"/>
      <w:marTop w:val="0"/>
      <w:marBottom w:val="0"/>
      <w:divBdr>
        <w:top w:val="none" w:sz="0" w:space="0" w:color="auto"/>
        <w:left w:val="none" w:sz="0" w:space="0" w:color="auto"/>
        <w:bottom w:val="none" w:sz="0" w:space="0" w:color="auto"/>
        <w:right w:val="none" w:sz="0" w:space="0" w:color="auto"/>
      </w:divBdr>
    </w:div>
    <w:div w:id="1915118216">
      <w:bodyDiv w:val="1"/>
      <w:marLeft w:val="0"/>
      <w:marRight w:val="0"/>
      <w:marTop w:val="0"/>
      <w:marBottom w:val="0"/>
      <w:divBdr>
        <w:top w:val="none" w:sz="0" w:space="0" w:color="auto"/>
        <w:left w:val="none" w:sz="0" w:space="0" w:color="auto"/>
        <w:bottom w:val="none" w:sz="0" w:space="0" w:color="auto"/>
        <w:right w:val="none" w:sz="0" w:space="0" w:color="auto"/>
      </w:divBdr>
    </w:div>
    <w:div w:id="1919901604">
      <w:bodyDiv w:val="1"/>
      <w:marLeft w:val="0"/>
      <w:marRight w:val="0"/>
      <w:marTop w:val="0"/>
      <w:marBottom w:val="0"/>
      <w:divBdr>
        <w:top w:val="none" w:sz="0" w:space="0" w:color="auto"/>
        <w:left w:val="none" w:sz="0" w:space="0" w:color="auto"/>
        <w:bottom w:val="none" w:sz="0" w:space="0" w:color="auto"/>
        <w:right w:val="none" w:sz="0" w:space="0" w:color="auto"/>
      </w:divBdr>
    </w:div>
    <w:div w:id="1959142874">
      <w:bodyDiv w:val="1"/>
      <w:marLeft w:val="0"/>
      <w:marRight w:val="0"/>
      <w:marTop w:val="0"/>
      <w:marBottom w:val="0"/>
      <w:divBdr>
        <w:top w:val="none" w:sz="0" w:space="0" w:color="auto"/>
        <w:left w:val="none" w:sz="0" w:space="0" w:color="auto"/>
        <w:bottom w:val="none" w:sz="0" w:space="0" w:color="auto"/>
        <w:right w:val="none" w:sz="0" w:space="0" w:color="auto"/>
      </w:divBdr>
    </w:div>
    <w:div w:id="1984968261">
      <w:bodyDiv w:val="1"/>
      <w:marLeft w:val="0"/>
      <w:marRight w:val="0"/>
      <w:marTop w:val="0"/>
      <w:marBottom w:val="0"/>
      <w:divBdr>
        <w:top w:val="none" w:sz="0" w:space="0" w:color="auto"/>
        <w:left w:val="none" w:sz="0" w:space="0" w:color="auto"/>
        <w:bottom w:val="none" w:sz="0" w:space="0" w:color="auto"/>
        <w:right w:val="none" w:sz="0" w:space="0" w:color="auto"/>
      </w:divBdr>
    </w:div>
    <w:div w:id="2038463322">
      <w:bodyDiv w:val="1"/>
      <w:marLeft w:val="0"/>
      <w:marRight w:val="0"/>
      <w:marTop w:val="0"/>
      <w:marBottom w:val="0"/>
      <w:divBdr>
        <w:top w:val="none" w:sz="0" w:space="0" w:color="auto"/>
        <w:left w:val="none" w:sz="0" w:space="0" w:color="auto"/>
        <w:bottom w:val="none" w:sz="0" w:space="0" w:color="auto"/>
        <w:right w:val="none" w:sz="0" w:space="0" w:color="auto"/>
      </w:divBdr>
    </w:div>
    <w:div w:id="2056192452">
      <w:bodyDiv w:val="1"/>
      <w:marLeft w:val="0"/>
      <w:marRight w:val="0"/>
      <w:marTop w:val="0"/>
      <w:marBottom w:val="0"/>
      <w:divBdr>
        <w:top w:val="none" w:sz="0" w:space="0" w:color="auto"/>
        <w:left w:val="none" w:sz="0" w:space="0" w:color="auto"/>
        <w:bottom w:val="none" w:sz="0" w:space="0" w:color="auto"/>
        <w:right w:val="none" w:sz="0" w:space="0" w:color="auto"/>
      </w:divBdr>
    </w:div>
    <w:div w:id="2091197848">
      <w:bodyDiv w:val="1"/>
      <w:marLeft w:val="0"/>
      <w:marRight w:val="0"/>
      <w:marTop w:val="0"/>
      <w:marBottom w:val="0"/>
      <w:divBdr>
        <w:top w:val="none" w:sz="0" w:space="0" w:color="auto"/>
        <w:left w:val="none" w:sz="0" w:space="0" w:color="auto"/>
        <w:bottom w:val="none" w:sz="0" w:space="0" w:color="auto"/>
        <w:right w:val="none" w:sz="0" w:space="0" w:color="auto"/>
      </w:divBdr>
    </w:div>
    <w:div w:id="2105028879">
      <w:bodyDiv w:val="1"/>
      <w:marLeft w:val="0"/>
      <w:marRight w:val="0"/>
      <w:marTop w:val="0"/>
      <w:marBottom w:val="0"/>
      <w:divBdr>
        <w:top w:val="none" w:sz="0" w:space="0" w:color="auto"/>
        <w:left w:val="none" w:sz="0" w:space="0" w:color="auto"/>
        <w:bottom w:val="none" w:sz="0" w:space="0" w:color="auto"/>
        <w:right w:val="none" w:sz="0" w:space="0" w:color="auto"/>
      </w:divBdr>
    </w:div>
    <w:div w:id="2105882315">
      <w:bodyDiv w:val="1"/>
      <w:marLeft w:val="0"/>
      <w:marRight w:val="0"/>
      <w:marTop w:val="0"/>
      <w:marBottom w:val="0"/>
      <w:divBdr>
        <w:top w:val="none" w:sz="0" w:space="0" w:color="auto"/>
        <w:left w:val="none" w:sz="0" w:space="0" w:color="auto"/>
        <w:bottom w:val="none" w:sz="0" w:space="0" w:color="auto"/>
        <w:right w:val="none" w:sz="0" w:space="0" w:color="auto"/>
      </w:divBdr>
    </w:div>
    <w:div w:id="21101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BA3AC.75515B1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jpg@01DBA3AC.75515B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EN/TXT/PDF/?uri=CELEX:32023R10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dsecure.asseco.com/insights/what-is-3d-secure-2-0/" TargetMode="External"/><Relationship Id="rId5" Type="http://schemas.openxmlformats.org/officeDocument/2006/relationships/webSettings" Target="webSettings.xml"/><Relationship Id="rId15" Type="http://schemas.openxmlformats.org/officeDocument/2006/relationships/hyperlink" Target="https://eur-lex.europa.eu/legal-content/EN/TXT/?uri=CELEX%3A32022R1917&amp;home=ecb" TargetMode="External"/><Relationship Id="rId10" Type="http://schemas.openxmlformats.org/officeDocument/2006/relationships/hyperlink" Target="https://www.ecb.europa.eu/stats/policy_and_exchange_rates/euro_reference_exchange_rates/html/index.e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sa=t&amp;rct=j&amp;q=&amp;esrc=s&amp;source=web&amp;cd=&amp;cad=rja&amp;uact=8&amp;ved=2ahUKEwiwhMi-h8HxAhVXDmMBHW_pBOAQFjAAegQIAxAD&amp;url=https%3A%2F%2Fwww.ecb.europa.eu%2Fstats%2Fpayment_statistics%2Fpayment_services%2Fshared%2Fpdf%2Fmanual_payments_statistics_reporting.xlsx&amp;usg=AOvVaw1Lh0zJh_9FuW8oHgJ6I9NZ" TargetMode="External"/><Relationship Id="rId14" Type="http://schemas.openxmlformats.org/officeDocument/2006/relationships/hyperlink" Target="https://eur-lex.europa.eu/legal-content/EN/TXT/?uri=CELEX%3A32022R1917&amp;home=ec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A5C68-79A8-4968-B746-A0A50642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7469</TotalTime>
  <Pages>44</Pages>
  <Words>11875</Words>
  <Characters>64126</Characters>
  <Application>Microsoft Office Word</Application>
  <DocSecurity>0</DocSecurity>
  <Lines>534</Lines>
  <Paragraphs>151</Paragraphs>
  <ScaleCrop>false</ScaleCrop>
  <HeadingPairs>
    <vt:vector size="2" baseType="variant">
      <vt:variant>
        <vt:lpstr>Title</vt:lpstr>
      </vt:variant>
      <vt:variant>
        <vt:i4>1</vt:i4>
      </vt:variant>
    </vt:vector>
  </HeadingPairs>
  <TitlesOfParts>
    <vt:vector size="1" baseType="lpstr">
      <vt:lpstr/>
    </vt:vector>
  </TitlesOfParts>
  <Company>Central Bank of Cyprus</Company>
  <LinksUpToDate>false</LinksUpToDate>
  <CharactersWithSpaces>75850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A Prodromou</dc:creator>
  <cp:keywords/>
  <dc:description/>
  <cp:lastModifiedBy>Irena A Prodromou</cp:lastModifiedBy>
  <cp:revision>114</cp:revision>
  <cp:lastPrinted>2022-11-11T06:19:00Z</cp:lastPrinted>
  <dcterms:created xsi:type="dcterms:W3CDTF">2022-04-20T16:18:00Z</dcterms:created>
  <dcterms:modified xsi:type="dcterms:W3CDTF">2026-02-04T17:40:00Z</dcterms:modified>
</cp:coreProperties>
</file>